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677E46" w:rsidP="7F325207" w:rsidRDefault="00677E46" w14:paraId="1B6464BF" w14:textId="2BC84884">
      <w:pPr>
        <w:spacing w:after="0" w:line="240" w:lineRule="auto"/>
        <w:contextualSpacing w:val="1"/>
        <w:jc w:val="center"/>
        <w:rPr>
          <w:rFonts w:ascii="Times New Roman" w:hAnsi="Times New Roman" w:eastAsia="Times New Roman" w:cs="Times New Roman"/>
          <w:noProof w:val="0"/>
          <w:sz w:val="26"/>
          <w:szCs w:val="26"/>
          <w:lang w:val="en-US"/>
        </w:rPr>
      </w:pPr>
      <w:r w:rsidRPr="7F325207" w:rsidR="31C4BE6F">
        <w:rPr>
          <w:rFonts w:ascii="Times New Roman" w:hAnsi="Times New Roman" w:eastAsia="Times New Roman" w:cs="Times New Roman"/>
          <w:caps w:val="1"/>
          <w:noProof w:val="0"/>
          <w:sz w:val="26"/>
          <w:szCs w:val="26"/>
          <w:lang w:val="en-US"/>
        </w:rPr>
        <w:t>UNITED STATES DISTRICT COURT</w:t>
      </w:r>
    </w:p>
    <w:p w:rsidR="00677E46" w:rsidP="7F325207" w:rsidRDefault="00677E46" w14:paraId="5B214ECD" w14:textId="7612B9A6">
      <w:pPr>
        <w:spacing w:after="0" w:line="240" w:lineRule="auto"/>
        <w:contextualSpacing w:val="1"/>
        <w:jc w:val="center"/>
        <w:rPr>
          <w:rFonts w:ascii="Times New Roman" w:hAnsi="Times New Roman" w:eastAsia="Times New Roman" w:cs="Times New Roman"/>
          <w:noProof w:val="0"/>
          <w:sz w:val="26"/>
          <w:szCs w:val="26"/>
          <w:lang w:val="en-US"/>
        </w:rPr>
      </w:pPr>
      <w:r w:rsidRPr="7F325207" w:rsidR="31C4BE6F">
        <w:rPr>
          <w:rFonts w:ascii="Times New Roman" w:hAnsi="Times New Roman" w:eastAsia="Times New Roman" w:cs="Times New Roman"/>
          <w:caps w:val="1"/>
          <w:noProof w:val="0"/>
          <w:sz w:val="26"/>
          <w:szCs w:val="26"/>
          <w:lang w:val="en-US"/>
        </w:rPr>
        <w:t>FOR THE WESTERN DISTRICT OF OKLAHOMA</w:t>
      </w:r>
    </w:p>
    <w:p w:rsidR="00677E46" w:rsidP="7F325207" w:rsidRDefault="00677E46" w14:paraId="4F01BA68" w14:textId="251FDEF0">
      <w:pPr>
        <w:spacing w:after="0" w:line="240" w:lineRule="auto"/>
        <w:contextualSpacing w:val="1"/>
        <w:jc w:val="center"/>
        <w:rPr>
          <w:rFonts w:ascii="Times New Roman" w:hAnsi="Times New Roman" w:eastAsia="Times New Roman" w:cs="Times New Roman"/>
          <w:noProof w:val="0"/>
          <w:sz w:val="26"/>
          <w:szCs w:val="26"/>
          <w:lang w:val="en-US"/>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4951"/>
        <w:gridCol w:w="4409"/>
      </w:tblGrid>
      <w:tr w:rsidR="7F325207" w:rsidTr="7F325207" w14:paraId="3D822568">
        <w:trPr>
          <w:trHeight w:val="300"/>
        </w:trPr>
        <w:tc>
          <w:tcPr>
            <w:tcW w:w="4951" w:type="dxa"/>
            <w:tcBorders>
              <w:top w:val="nil"/>
              <w:left w:val="nil"/>
            </w:tcBorders>
            <w:tcMar>
              <w:top w:w="135" w:type="dxa"/>
              <w:left w:w="135" w:type="dxa"/>
              <w:bottom w:w="135" w:type="dxa"/>
              <w:right w:w="135" w:type="dxa"/>
            </w:tcMar>
            <w:vAlign w:val="center"/>
          </w:tcPr>
          <w:p w:rsidR="7F325207" w:rsidP="7F325207" w:rsidRDefault="7F325207" w14:paraId="2457C7B0" w14:textId="5B45F783">
            <w:pPr>
              <w:spacing/>
              <w:contextualSpacing w:val="1"/>
              <w:rPr>
                <w:rFonts w:ascii="Times New Roman" w:hAnsi="Times New Roman" w:eastAsia="Times New Roman" w:cs="Times New Roman"/>
                <w:sz w:val="26"/>
                <w:szCs w:val="26"/>
              </w:rPr>
            </w:pPr>
            <w:r w:rsidRPr="7F325207" w:rsidR="7F325207">
              <w:rPr>
                <w:rFonts w:ascii="Times New Roman" w:hAnsi="Times New Roman" w:eastAsia="Times New Roman" w:cs="Times New Roman"/>
                <w:sz w:val="26"/>
                <w:szCs w:val="26"/>
                <w:highlight w:val="yellow"/>
                <w:lang w:val="en-US"/>
              </w:rPr>
              <w:t>NAME</w:t>
            </w:r>
            <w:r w:rsidRPr="7F325207" w:rsidR="7F325207">
              <w:rPr>
                <w:rFonts w:ascii="Times New Roman" w:hAnsi="Times New Roman" w:eastAsia="Times New Roman" w:cs="Times New Roman"/>
                <w:sz w:val="26"/>
                <w:szCs w:val="26"/>
                <w:lang w:val="en-US"/>
              </w:rPr>
              <w:t>,</w:t>
            </w:r>
          </w:p>
          <w:p w:rsidR="7F325207" w:rsidP="7F325207" w:rsidRDefault="7F325207" w14:paraId="722BCD10" w14:textId="5AB7D758">
            <w:pPr>
              <w:spacing/>
              <w:contextualSpacing w:val="1"/>
              <w:rPr>
                <w:rFonts w:ascii="Times New Roman" w:hAnsi="Times New Roman" w:eastAsia="Times New Roman" w:cs="Times New Roman"/>
                <w:sz w:val="26"/>
                <w:szCs w:val="26"/>
              </w:rPr>
            </w:pPr>
          </w:p>
          <w:p w:rsidR="7F325207" w:rsidP="7F325207" w:rsidRDefault="7F325207" w14:paraId="26A7B1C1" w14:textId="70A0300C">
            <w:pPr>
              <w:spacing/>
              <w:ind w:right="301"/>
              <w:contextualSpacing w:val="1"/>
              <w:jc w:val="right"/>
              <w:rPr>
                <w:rFonts w:ascii="Times New Roman" w:hAnsi="Times New Roman" w:eastAsia="Times New Roman" w:cs="Times New Roman"/>
                <w:sz w:val="26"/>
                <w:szCs w:val="26"/>
              </w:rPr>
            </w:pPr>
            <w:r w:rsidRPr="7F325207" w:rsidR="7F325207">
              <w:rPr>
                <w:rFonts w:ascii="Times New Roman" w:hAnsi="Times New Roman" w:eastAsia="Times New Roman" w:cs="Times New Roman"/>
                <w:sz w:val="26"/>
                <w:szCs w:val="26"/>
                <w:lang w:val="en-US"/>
              </w:rPr>
              <w:t>Petitioner,</w:t>
            </w:r>
          </w:p>
          <w:p w:rsidR="7F325207" w:rsidP="7F325207" w:rsidRDefault="7F325207" w14:paraId="07DEE371" w14:textId="0F500C69">
            <w:pPr>
              <w:spacing/>
              <w:contextualSpacing w:val="1"/>
              <w:rPr>
                <w:rFonts w:ascii="Times New Roman" w:hAnsi="Times New Roman" w:eastAsia="Times New Roman" w:cs="Times New Roman"/>
                <w:sz w:val="26"/>
                <w:szCs w:val="26"/>
              </w:rPr>
            </w:pPr>
          </w:p>
          <w:p w:rsidR="7F325207" w:rsidP="7F325207" w:rsidRDefault="7F325207" w14:paraId="7B225E3F" w14:textId="5BD7DFA1">
            <w:pPr>
              <w:spacing/>
              <w:ind w:left="1476"/>
              <w:contextualSpacing w:val="1"/>
              <w:rPr>
                <w:rFonts w:ascii="Times New Roman" w:hAnsi="Times New Roman" w:eastAsia="Times New Roman" w:cs="Times New Roman"/>
                <w:sz w:val="26"/>
                <w:szCs w:val="26"/>
              </w:rPr>
            </w:pPr>
            <w:r w:rsidRPr="7F325207" w:rsidR="7F325207">
              <w:rPr>
                <w:rFonts w:ascii="Times New Roman" w:hAnsi="Times New Roman" w:eastAsia="Times New Roman" w:cs="Times New Roman"/>
                <w:sz w:val="26"/>
                <w:szCs w:val="26"/>
                <w:lang w:val="en-US"/>
              </w:rPr>
              <w:t>v.</w:t>
            </w:r>
          </w:p>
          <w:p w:rsidR="7F325207" w:rsidP="7F325207" w:rsidRDefault="7F325207" w14:paraId="53D86406" w14:textId="2226A23B">
            <w:pPr>
              <w:spacing/>
              <w:contextualSpacing w:val="1"/>
              <w:rPr>
                <w:rFonts w:ascii="Times New Roman" w:hAnsi="Times New Roman" w:eastAsia="Times New Roman" w:cs="Times New Roman"/>
                <w:sz w:val="26"/>
                <w:szCs w:val="26"/>
              </w:rPr>
            </w:pPr>
          </w:p>
          <w:p w:rsidR="7F325207" w:rsidP="7F325207" w:rsidRDefault="7F325207" w14:paraId="3903E3DB" w14:textId="623DA646">
            <w:pPr>
              <w:spacing/>
              <w:contextualSpacing w:val="1"/>
              <w:rPr>
                <w:rFonts w:ascii="Times New Roman" w:hAnsi="Times New Roman" w:eastAsia="Times New Roman" w:cs="Times New Roman"/>
                <w:sz w:val="26"/>
                <w:szCs w:val="26"/>
              </w:rPr>
            </w:pPr>
            <w:r w:rsidRPr="7F325207" w:rsidR="7F325207">
              <w:rPr>
                <w:rFonts w:ascii="Times New Roman" w:hAnsi="Times New Roman" w:eastAsia="Times New Roman" w:cs="Times New Roman"/>
                <w:sz w:val="26"/>
                <w:szCs w:val="26"/>
                <w:lang w:val="en-US"/>
              </w:rPr>
              <w:t xml:space="preserve">1.[ </w:t>
            </w:r>
            <w:r w:rsidRPr="7F325207" w:rsidR="7F325207">
              <w:rPr>
                <w:rFonts w:ascii="Times New Roman" w:hAnsi="Times New Roman" w:eastAsia="Times New Roman" w:cs="Times New Roman"/>
                <w:sz w:val="26"/>
                <w:szCs w:val="26"/>
                <w:highlight w:val="yellow"/>
                <w:lang w:val="en-US"/>
              </w:rPr>
              <w:t>NAME OF FIELD OFFICE DIRECTOR</w:t>
            </w:r>
            <w:r w:rsidRPr="7F325207" w:rsidR="7F325207">
              <w:rPr>
                <w:rFonts w:ascii="Times New Roman" w:hAnsi="Times New Roman" w:eastAsia="Times New Roman" w:cs="Times New Roman"/>
                <w:sz w:val="26"/>
                <w:szCs w:val="26"/>
                <w:lang w:val="en-US"/>
              </w:rPr>
              <w:t>], Field Office Director of Enforcement and Removal Operations, [</w:t>
            </w:r>
            <w:r w:rsidRPr="7F325207" w:rsidR="7F325207">
              <w:rPr>
                <w:rFonts w:ascii="Times New Roman" w:hAnsi="Times New Roman" w:eastAsia="Times New Roman" w:cs="Times New Roman"/>
                <w:sz w:val="26"/>
                <w:szCs w:val="26"/>
                <w:highlight w:val="yellow"/>
                <w:lang w:val="en-US"/>
              </w:rPr>
              <w:t>CITY</w:t>
            </w:r>
            <w:r w:rsidRPr="7F325207" w:rsidR="7F325207">
              <w:rPr>
                <w:rFonts w:ascii="Times New Roman" w:hAnsi="Times New Roman" w:eastAsia="Times New Roman" w:cs="Times New Roman"/>
                <w:sz w:val="26"/>
                <w:szCs w:val="26"/>
                <w:lang w:val="en-US"/>
              </w:rPr>
              <w:t xml:space="preserve">] Field Office, Immigration and Customs Enforcement; </w:t>
            </w:r>
          </w:p>
          <w:p w:rsidR="7F325207" w:rsidP="7F325207" w:rsidRDefault="7F325207" w14:paraId="0479D6B4" w14:textId="7E0B87E6">
            <w:pPr>
              <w:spacing/>
              <w:contextualSpacing w:val="1"/>
              <w:rPr>
                <w:rFonts w:ascii="Times New Roman" w:hAnsi="Times New Roman" w:eastAsia="Times New Roman" w:cs="Times New Roman"/>
                <w:sz w:val="26"/>
                <w:szCs w:val="26"/>
              </w:rPr>
            </w:pPr>
            <w:r w:rsidRPr="7F325207" w:rsidR="7F325207">
              <w:rPr>
                <w:rFonts w:ascii="Times New Roman" w:hAnsi="Times New Roman" w:eastAsia="Times New Roman" w:cs="Times New Roman"/>
                <w:sz w:val="26"/>
                <w:szCs w:val="26"/>
                <w:lang w:val="en-US"/>
              </w:rPr>
              <w:t>2. Markwayne MULLIN, Secretary, U.S. Department of Homeland Security; U.S. DEPARTMENT OF HOMELAND SECURITY;</w:t>
            </w:r>
          </w:p>
          <w:p w:rsidR="7F325207" w:rsidP="7F325207" w:rsidRDefault="7F325207" w14:paraId="7F756CD8" w14:textId="6B09DBE9">
            <w:pPr>
              <w:spacing/>
              <w:contextualSpacing w:val="1"/>
              <w:rPr>
                <w:rFonts w:ascii="Times New Roman" w:hAnsi="Times New Roman" w:eastAsia="Times New Roman" w:cs="Times New Roman"/>
                <w:sz w:val="26"/>
                <w:szCs w:val="26"/>
              </w:rPr>
            </w:pPr>
            <w:r w:rsidRPr="7F325207" w:rsidR="7F325207">
              <w:rPr>
                <w:rFonts w:ascii="Times New Roman" w:hAnsi="Times New Roman" w:eastAsia="Times New Roman" w:cs="Times New Roman"/>
                <w:sz w:val="26"/>
                <w:szCs w:val="26"/>
                <w:lang w:val="en-US"/>
              </w:rPr>
              <w:t xml:space="preserve">3. Pamela BONDI, U.S. Attorney General; EXECUTIVE OFFICE FOR IMMIGRATION REVIEW; </w:t>
            </w:r>
          </w:p>
          <w:p w:rsidR="7F325207" w:rsidP="7F325207" w:rsidRDefault="7F325207" w14:paraId="3747F36E" w14:textId="4E484AA4">
            <w:pPr>
              <w:spacing/>
              <w:contextualSpacing w:val="1"/>
              <w:rPr>
                <w:rFonts w:ascii="Times New Roman" w:hAnsi="Times New Roman" w:eastAsia="Times New Roman" w:cs="Times New Roman"/>
                <w:sz w:val="26"/>
                <w:szCs w:val="26"/>
              </w:rPr>
            </w:pPr>
            <w:r w:rsidRPr="7F325207" w:rsidR="7F325207">
              <w:rPr>
                <w:rFonts w:ascii="Times New Roman" w:hAnsi="Times New Roman" w:eastAsia="Times New Roman" w:cs="Times New Roman"/>
                <w:sz w:val="26"/>
                <w:szCs w:val="26"/>
                <w:lang w:val="en-US"/>
              </w:rPr>
              <w:t>4. [</w:t>
            </w:r>
            <w:r w:rsidRPr="7F325207" w:rsidR="7F325207">
              <w:rPr>
                <w:rFonts w:ascii="Times New Roman" w:hAnsi="Times New Roman" w:eastAsia="Times New Roman" w:cs="Times New Roman"/>
                <w:sz w:val="26"/>
                <w:szCs w:val="26"/>
                <w:highlight w:val="yellow"/>
                <w:lang w:val="en-US"/>
              </w:rPr>
              <w:t>NAME OF WARDEN OF DETENTION FACILITY</w:t>
            </w:r>
            <w:r w:rsidRPr="7F325207" w:rsidR="7F325207">
              <w:rPr>
                <w:rFonts w:ascii="Times New Roman" w:hAnsi="Times New Roman" w:eastAsia="Times New Roman" w:cs="Times New Roman"/>
                <w:sz w:val="26"/>
                <w:szCs w:val="26"/>
                <w:lang w:val="en-US"/>
              </w:rPr>
              <w:t>], Warden of [</w:t>
            </w:r>
            <w:r w:rsidRPr="7F325207" w:rsidR="7F325207">
              <w:rPr>
                <w:rFonts w:ascii="Times New Roman" w:hAnsi="Times New Roman" w:eastAsia="Times New Roman" w:cs="Times New Roman"/>
                <w:sz w:val="26"/>
                <w:szCs w:val="26"/>
                <w:highlight w:val="yellow"/>
                <w:lang w:val="en-US"/>
              </w:rPr>
              <w:t>DETENTION FACILITY</w:t>
            </w:r>
            <w:r w:rsidRPr="7F325207" w:rsidR="7F325207">
              <w:rPr>
                <w:rFonts w:ascii="Times New Roman" w:hAnsi="Times New Roman" w:eastAsia="Times New Roman" w:cs="Times New Roman"/>
                <w:sz w:val="26"/>
                <w:szCs w:val="26"/>
                <w:lang w:val="en-US"/>
              </w:rPr>
              <w:t>],</w:t>
            </w:r>
          </w:p>
          <w:p w:rsidR="7F325207" w:rsidP="7F325207" w:rsidRDefault="7F325207" w14:paraId="53EA2C31" w14:textId="1FC64BC6">
            <w:pPr>
              <w:spacing/>
              <w:contextualSpacing w:val="1"/>
              <w:rPr>
                <w:rFonts w:ascii="Times New Roman" w:hAnsi="Times New Roman" w:eastAsia="Times New Roman" w:cs="Times New Roman"/>
                <w:sz w:val="26"/>
                <w:szCs w:val="26"/>
              </w:rPr>
            </w:pPr>
          </w:p>
          <w:p w:rsidR="7F325207" w:rsidP="7F325207" w:rsidRDefault="7F325207" w14:paraId="13CB3A7D" w14:textId="45FD67D4">
            <w:pPr>
              <w:spacing/>
              <w:ind w:right="301"/>
              <w:contextualSpacing w:val="1"/>
              <w:jc w:val="right"/>
              <w:rPr>
                <w:rFonts w:ascii="Times New Roman" w:hAnsi="Times New Roman" w:eastAsia="Times New Roman" w:cs="Times New Roman"/>
                <w:sz w:val="26"/>
                <w:szCs w:val="26"/>
              </w:rPr>
            </w:pPr>
            <w:r w:rsidRPr="7F325207" w:rsidR="7F325207">
              <w:rPr>
                <w:rFonts w:ascii="Times New Roman" w:hAnsi="Times New Roman" w:eastAsia="Times New Roman" w:cs="Times New Roman"/>
                <w:sz w:val="26"/>
                <w:szCs w:val="26"/>
                <w:lang w:val="en-US"/>
              </w:rPr>
              <w:t xml:space="preserve">Respondents. </w:t>
            </w:r>
          </w:p>
        </w:tc>
        <w:tc>
          <w:tcPr>
            <w:tcW w:w="4409" w:type="dxa"/>
            <w:tcBorders>
              <w:top w:val="nil"/>
              <w:bottom w:val="nil"/>
              <w:right w:val="nil"/>
            </w:tcBorders>
            <w:tcMar>
              <w:left w:w="105" w:type="dxa"/>
              <w:right w:w="105" w:type="dxa"/>
            </w:tcMar>
            <w:vAlign w:val="center"/>
          </w:tcPr>
          <w:p w:rsidR="7F325207" w:rsidP="7F325207" w:rsidRDefault="7F325207" w14:paraId="71B3EDB1" w14:textId="217AFF4E">
            <w:pPr>
              <w:spacing/>
              <w:contextualSpacing w:val="1"/>
              <w:rPr>
                <w:rFonts w:ascii="Times New Roman" w:hAnsi="Times New Roman" w:eastAsia="Times New Roman" w:cs="Times New Roman"/>
                <w:sz w:val="26"/>
                <w:szCs w:val="26"/>
              </w:rPr>
            </w:pPr>
          </w:p>
          <w:p w:rsidR="7F325207" w:rsidP="7F325207" w:rsidRDefault="7F325207" w14:paraId="352B6098" w14:textId="58C7BF82">
            <w:pPr>
              <w:spacing/>
              <w:contextualSpacing w:val="1"/>
              <w:rPr>
                <w:rFonts w:ascii="Times New Roman" w:hAnsi="Times New Roman" w:eastAsia="Times New Roman" w:cs="Times New Roman"/>
                <w:sz w:val="26"/>
                <w:szCs w:val="26"/>
              </w:rPr>
            </w:pPr>
            <w:r w:rsidRPr="7F325207" w:rsidR="7F325207">
              <w:rPr>
                <w:rFonts w:ascii="Times New Roman" w:hAnsi="Times New Roman" w:eastAsia="Times New Roman" w:cs="Times New Roman"/>
                <w:sz w:val="26"/>
                <w:szCs w:val="26"/>
                <w:lang w:val="en-US"/>
              </w:rPr>
              <w:t xml:space="preserve">Case No. </w:t>
            </w:r>
          </w:p>
          <w:p w:rsidR="7F325207" w:rsidP="7F325207" w:rsidRDefault="7F325207" w14:paraId="2903D7B0" w14:textId="72900D15">
            <w:pPr>
              <w:spacing/>
              <w:contextualSpacing w:val="1"/>
              <w:rPr>
                <w:rFonts w:ascii="Times New Roman" w:hAnsi="Times New Roman" w:eastAsia="Times New Roman" w:cs="Times New Roman"/>
                <w:sz w:val="26"/>
                <w:szCs w:val="26"/>
              </w:rPr>
            </w:pPr>
          </w:p>
          <w:p w:rsidR="7F325207" w:rsidP="7F325207" w:rsidRDefault="7F325207" w14:paraId="5FE57E2C" w14:textId="1DC3B4BC">
            <w:pPr>
              <w:pStyle w:val="Normal"/>
              <w:spacing/>
              <w:contextualSpacing w:val="1"/>
              <w:rPr>
                <w:rFonts w:ascii="Times New Roman" w:hAnsi="Times New Roman" w:eastAsia="Times New Roman" w:cs="Times New Roman"/>
                <w:sz w:val="26"/>
                <w:szCs w:val="26"/>
              </w:rPr>
            </w:pPr>
          </w:p>
        </w:tc>
      </w:tr>
    </w:tbl>
    <w:p w:rsidR="00677E46" w:rsidP="7F325207" w:rsidRDefault="00677E46" w14:paraId="05D91A8F" w14:noSpellErr="1" w14:textId="59E1B8FD">
      <w:pPr>
        <w:pStyle w:val="Normal"/>
      </w:pPr>
    </w:p>
    <w:p w:rsidR="00950C96" w:rsidP="57283B4A" w:rsidRDefault="00950C96" w14:paraId="3BEC003C" w14:textId="77777777">
      <w:pPr>
        <w:tabs>
          <w:tab w:val="left" w:pos="2580"/>
        </w:tabs>
        <w:jc w:val="center"/>
        <w:rPr>
          <w:rFonts w:ascii="Times New Roman" w:hAnsi="Times New Roman" w:cs="Times New Roman"/>
          <w:b w:val="1"/>
          <w:bCs w:val="1"/>
          <w:sz w:val="26"/>
          <w:szCs w:val="26"/>
          <w:highlight w:val="yellow"/>
          <w:u w:val="single"/>
        </w:rPr>
      </w:pPr>
    </w:p>
    <w:p w:rsidR="00E04A55" w:rsidP="57283B4A" w:rsidRDefault="00D906F5" w14:paraId="06FEB441" w14:textId="32F36FDE">
      <w:pPr>
        <w:tabs>
          <w:tab w:val="left" w:pos="2580"/>
        </w:tabs>
        <w:spacing w:after="0" w:line="240" w:lineRule="auto"/>
        <w:jc w:val="center"/>
        <w:rPr>
          <w:rFonts w:ascii="Times New Roman" w:hAnsi="Times New Roman" w:cs="Times New Roman"/>
          <w:b w:val="1"/>
          <w:bCs w:val="1"/>
          <w:sz w:val="26"/>
          <w:szCs w:val="26"/>
          <w:u w:val="single"/>
        </w:rPr>
      </w:pPr>
      <w:r w:rsidRPr="57283B4A" w:rsidR="00D906F5">
        <w:rPr>
          <w:rFonts w:ascii="Times New Roman" w:hAnsi="Times New Roman" w:cs="Times New Roman"/>
          <w:b w:val="1"/>
          <w:bCs w:val="1"/>
          <w:sz w:val="26"/>
          <w:szCs w:val="26"/>
          <w:u w:val="single"/>
        </w:rPr>
        <w:t xml:space="preserve">PETITIONER’S </w:t>
      </w:r>
      <w:r w:rsidRPr="57283B4A" w:rsidR="005D4D02">
        <w:rPr>
          <w:rFonts w:ascii="Times New Roman" w:hAnsi="Times New Roman" w:cs="Times New Roman"/>
          <w:b w:val="1"/>
          <w:bCs w:val="1"/>
          <w:sz w:val="26"/>
          <w:szCs w:val="26"/>
          <w:highlight w:val="yellow"/>
          <w:u w:val="single"/>
        </w:rPr>
        <w:t>[OPPOSED]</w:t>
      </w:r>
      <w:r w:rsidRPr="57283B4A" w:rsidR="005D4D02">
        <w:rPr>
          <w:rFonts w:ascii="Times New Roman" w:hAnsi="Times New Roman" w:cs="Times New Roman"/>
          <w:b w:val="1"/>
          <w:bCs w:val="1"/>
          <w:sz w:val="26"/>
          <w:szCs w:val="26"/>
          <w:u w:val="single"/>
        </w:rPr>
        <w:t xml:space="preserve"> </w:t>
      </w:r>
      <w:r w:rsidRPr="57283B4A" w:rsidR="00677E46">
        <w:rPr>
          <w:rFonts w:ascii="Times New Roman" w:hAnsi="Times New Roman" w:cs="Times New Roman"/>
          <w:b w:val="1"/>
          <w:bCs w:val="1"/>
          <w:sz w:val="26"/>
          <w:szCs w:val="26"/>
          <w:u w:val="single"/>
        </w:rPr>
        <w:t>MOTION FOR</w:t>
      </w:r>
      <w:r w:rsidRPr="57283B4A" w:rsidR="00993C30">
        <w:rPr>
          <w:rFonts w:ascii="Times New Roman" w:hAnsi="Times New Roman" w:cs="Times New Roman"/>
          <w:b w:val="1"/>
          <w:bCs w:val="1"/>
          <w:sz w:val="26"/>
          <w:szCs w:val="26"/>
          <w:u w:val="single"/>
        </w:rPr>
        <w:t xml:space="preserve"> </w:t>
      </w:r>
      <w:r w:rsidRPr="57283B4A" w:rsidR="00D906F5">
        <w:rPr>
          <w:rFonts w:ascii="Times New Roman" w:hAnsi="Times New Roman" w:cs="Times New Roman"/>
          <w:b w:val="1"/>
          <w:bCs w:val="1"/>
          <w:sz w:val="26"/>
          <w:szCs w:val="26"/>
          <w:u w:val="single"/>
        </w:rPr>
        <w:t>A</w:t>
      </w:r>
      <w:r w:rsidRPr="57283B4A" w:rsidR="00677E46">
        <w:rPr>
          <w:rFonts w:ascii="Times New Roman" w:hAnsi="Times New Roman" w:cs="Times New Roman"/>
          <w:b w:val="1"/>
          <w:bCs w:val="1"/>
          <w:sz w:val="26"/>
          <w:szCs w:val="26"/>
          <w:u w:val="single"/>
        </w:rPr>
        <w:t xml:space="preserve"> </w:t>
      </w:r>
      <w:r w:rsidRPr="57283B4A" w:rsidR="005D4D02">
        <w:rPr>
          <w:rFonts w:ascii="Times New Roman" w:hAnsi="Times New Roman" w:cs="Times New Roman"/>
          <w:b w:val="1"/>
          <w:bCs w:val="1"/>
          <w:sz w:val="26"/>
          <w:szCs w:val="26"/>
          <w:u w:val="single"/>
        </w:rPr>
        <w:t>TEMPORARY RESTRAINING ORDER</w:t>
      </w:r>
      <w:r w:rsidRPr="57283B4A" w:rsidR="00D906F5">
        <w:rPr>
          <w:rFonts w:ascii="Times New Roman" w:hAnsi="Times New Roman" w:cs="Times New Roman"/>
          <w:b w:val="1"/>
          <w:bCs w:val="1"/>
          <w:sz w:val="26"/>
          <w:szCs w:val="26"/>
          <w:u w:val="single"/>
        </w:rPr>
        <w:t xml:space="preserve"> ENJOINING PETITIONER’S TRANSFER FROM THIS JUDICIAL DISTRICT</w:t>
      </w:r>
    </w:p>
    <w:p w:rsidR="00D906F5" w:rsidP="57283B4A" w:rsidRDefault="00D906F5" w14:paraId="24E367CC" w14:textId="77777777">
      <w:pPr>
        <w:tabs>
          <w:tab w:val="left" w:pos="2580"/>
        </w:tabs>
        <w:spacing w:after="0" w:line="240" w:lineRule="auto"/>
        <w:jc w:val="center"/>
        <w:rPr>
          <w:rFonts w:ascii="Times New Roman" w:hAnsi="Times New Roman" w:cs="Times New Roman"/>
          <w:b w:val="1"/>
          <w:bCs w:val="1"/>
          <w:sz w:val="26"/>
          <w:szCs w:val="26"/>
          <w:u w:val="single"/>
        </w:rPr>
      </w:pPr>
    </w:p>
    <w:p w:rsidRPr="00846CD0" w:rsidR="00A44E00" w:rsidP="57283B4A" w:rsidRDefault="00A44E00" w14:paraId="62D51825" w14:textId="23F39895">
      <w:pPr>
        <w:spacing w:after="0" w:line="480" w:lineRule="auto"/>
        <w:ind w:firstLine="720"/>
        <w:jc w:val="both"/>
        <w:rPr>
          <w:rFonts w:ascii="Times New Roman" w:hAnsi="Times New Roman" w:cs="Times New Roman"/>
          <w:sz w:val="26"/>
          <w:szCs w:val="26"/>
        </w:rPr>
      </w:pPr>
      <w:r w:rsidRPr="57283B4A" w:rsidR="00A44E00">
        <w:rPr>
          <w:rFonts w:ascii="Times New Roman" w:hAnsi="Times New Roman" w:cs="Times New Roman"/>
          <w:sz w:val="26"/>
          <w:szCs w:val="26"/>
          <w:highlight w:val="yellow"/>
        </w:rPr>
        <w:t>[</w:t>
      </w:r>
      <w:r w:rsidRPr="57283B4A" w:rsidR="00E35DF6">
        <w:rPr>
          <w:rFonts w:ascii="Times New Roman" w:hAnsi="Times New Roman" w:cs="Times New Roman"/>
          <w:sz w:val="26"/>
          <w:szCs w:val="26"/>
          <w:highlight w:val="yellow"/>
        </w:rPr>
        <w:t>Fact-specific introduction</w:t>
      </w:r>
      <w:r w:rsidRPr="57283B4A" w:rsidR="001777E8">
        <w:rPr>
          <w:rFonts w:ascii="Times New Roman" w:hAnsi="Times New Roman" w:cs="Times New Roman"/>
          <w:sz w:val="26"/>
          <w:szCs w:val="26"/>
          <w:highlight w:val="yellow"/>
        </w:rPr>
        <w:t>, including in which facility Petitioner is currently detained</w:t>
      </w:r>
      <w:r w:rsidRPr="57283B4A" w:rsidR="00E35DF6">
        <w:rPr>
          <w:rFonts w:ascii="Times New Roman" w:hAnsi="Times New Roman" w:cs="Times New Roman"/>
          <w:sz w:val="26"/>
          <w:szCs w:val="26"/>
          <w:highlight w:val="yellow"/>
        </w:rPr>
        <w:t>.</w:t>
      </w:r>
      <w:r w:rsidRPr="57283B4A" w:rsidR="00A44E00">
        <w:rPr>
          <w:rFonts w:ascii="Times New Roman" w:hAnsi="Times New Roman" w:cs="Times New Roman"/>
          <w:sz w:val="26"/>
          <w:szCs w:val="26"/>
          <w:highlight w:val="yellow"/>
        </w:rPr>
        <w:t>]</w:t>
      </w:r>
      <w:r w:rsidRPr="57283B4A" w:rsidR="00495B32">
        <w:rPr>
          <w:rFonts w:ascii="Times New Roman" w:hAnsi="Times New Roman" w:cs="Times New Roman"/>
          <w:sz w:val="26"/>
          <w:szCs w:val="26"/>
        </w:rPr>
        <w:t xml:space="preserve"> Petitioner hereby </w:t>
      </w:r>
      <w:r w:rsidRPr="57283B4A" w:rsidR="0002057B">
        <w:rPr>
          <w:rFonts w:ascii="Times New Roman" w:hAnsi="Times New Roman" w:cs="Times New Roman"/>
          <w:sz w:val="26"/>
          <w:szCs w:val="26"/>
        </w:rPr>
        <w:t>moves this Court</w:t>
      </w:r>
      <w:r w:rsidRPr="57283B4A" w:rsidR="00495B32">
        <w:rPr>
          <w:rFonts w:ascii="Times New Roman" w:hAnsi="Times New Roman" w:cs="Times New Roman"/>
          <w:sz w:val="26"/>
          <w:szCs w:val="26"/>
        </w:rPr>
        <w:t xml:space="preserve"> for a temporary restraining order enjoining Petitioner’s transfer from this judicial district. Petitioner respectfully urges this Court to </w:t>
      </w:r>
      <w:r w:rsidRPr="57283B4A" w:rsidR="00A54BB6">
        <w:rPr>
          <w:rFonts w:ascii="Times New Roman" w:hAnsi="Times New Roman" w:cs="Times New Roman"/>
          <w:sz w:val="26"/>
          <w:szCs w:val="26"/>
        </w:rPr>
        <w:t>exercise its equitable authority under the All Writs Act, 28 U.S.C. § 1651(a), to “issue all writs necessary or appropriate in aid of their respective jurisdiction,” and immediately issue an order enjoining the transfer of Petitioner from this judicial district, so as to maintain the status quo,</w:t>
      </w:r>
      <w:r w:rsidRPr="57283B4A" w:rsidR="00536CFC">
        <w:rPr>
          <w:rFonts w:ascii="Times New Roman" w:hAnsi="Times New Roman" w:cs="Times New Roman"/>
          <w:sz w:val="26"/>
          <w:szCs w:val="26"/>
        </w:rPr>
        <w:t xml:space="preserve"> to ensure that Petitioner will </w:t>
      </w:r>
      <w:r w:rsidRPr="57283B4A" w:rsidR="00EA375B">
        <w:rPr>
          <w:rFonts w:ascii="Times New Roman" w:hAnsi="Times New Roman" w:cs="Times New Roman"/>
          <w:sz w:val="26"/>
          <w:szCs w:val="26"/>
        </w:rPr>
        <w:t xml:space="preserve">have </w:t>
      </w:r>
      <w:r w:rsidRPr="57283B4A" w:rsidR="00536CFC">
        <w:rPr>
          <w:rFonts w:ascii="Times New Roman" w:hAnsi="Times New Roman" w:cs="Times New Roman"/>
          <w:sz w:val="26"/>
          <w:szCs w:val="26"/>
        </w:rPr>
        <w:t>access to counsel during the pendency of the habeas proceedings, and to</w:t>
      </w:r>
      <w:r w:rsidRPr="57283B4A" w:rsidR="00A54BB6">
        <w:rPr>
          <w:rFonts w:ascii="Times New Roman" w:hAnsi="Times New Roman" w:cs="Times New Roman"/>
          <w:sz w:val="26"/>
          <w:szCs w:val="26"/>
        </w:rPr>
        <w:t xml:space="preserve"> ensure that Petitioner will have </w:t>
      </w:r>
      <w:r w:rsidRPr="57283B4A" w:rsidR="00536CFC">
        <w:rPr>
          <w:rFonts w:ascii="Times New Roman" w:hAnsi="Times New Roman" w:cs="Times New Roman"/>
          <w:sz w:val="26"/>
          <w:szCs w:val="26"/>
        </w:rPr>
        <w:t xml:space="preserve">unimpeded </w:t>
      </w:r>
      <w:r w:rsidRPr="57283B4A" w:rsidR="00A54BB6">
        <w:rPr>
          <w:rFonts w:ascii="Times New Roman" w:hAnsi="Times New Roman" w:cs="Times New Roman"/>
          <w:sz w:val="26"/>
          <w:szCs w:val="26"/>
        </w:rPr>
        <w:t>access to t</w:t>
      </w:r>
      <w:r w:rsidRPr="57283B4A" w:rsidR="00536CFC">
        <w:rPr>
          <w:rFonts w:ascii="Times New Roman" w:hAnsi="Times New Roman" w:cs="Times New Roman"/>
          <w:sz w:val="26"/>
          <w:szCs w:val="26"/>
        </w:rPr>
        <w:t>his Court in the event of an evidentiary hearing in this matter.</w:t>
      </w:r>
      <w:r w:rsidRPr="57283B4A" w:rsidR="00846CD0">
        <w:rPr>
          <w:rFonts w:ascii="Times New Roman" w:hAnsi="Times New Roman" w:cs="Times New Roman"/>
          <w:b w:val="1"/>
          <w:bCs w:val="1"/>
          <w:sz w:val="26"/>
          <w:szCs w:val="26"/>
        </w:rPr>
        <w:t xml:space="preserve"> </w:t>
      </w:r>
      <w:r w:rsidRPr="57283B4A" w:rsidR="00846CD0">
        <w:rPr>
          <w:rFonts w:ascii="Times New Roman" w:hAnsi="Times New Roman" w:cs="Times New Roman"/>
          <w:sz w:val="26"/>
          <w:szCs w:val="26"/>
        </w:rPr>
        <w:t xml:space="preserve">The relief requested by Petitioner here is modest. The </w:t>
      </w:r>
      <w:r w:rsidRPr="57283B4A" w:rsidR="002B7A72">
        <w:rPr>
          <w:rFonts w:ascii="Times New Roman" w:hAnsi="Times New Roman" w:cs="Times New Roman"/>
          <w:sz w:val="26"/>
          <w:szCs w:val="26"/>
        </w:rPr>
        <w:t>All Writs</w:t>
      </w:r>
      <w:r w:rsidRPr="57283B4A" w:rsidR="002B7A72">
        <w:rPr>
          <w:rFonts w:ascii="Times New Roman" w:hAnsi="Times New Roman" w:cs="Times New Roman"/>
          <w:sz w:val="26"/>
          <w:szCs w:val="26"/>
        </w:rPr>
        <w:t xml:space="preserve"> Act confers to this Court the broad and flexible equitable powers necessary to preserve the status quo and protect the integrity of </w:t>
      </w:r>
      <w:r w:rsidRPr="57283B4A" w:rsidR="000515FB">
        <w:rPr>
          <w:rFonts w:ascii="Times New Roman" w:hAnsi="Times New Roman" w:cs="Times New Roman"/>
          <w:sz w:val="26"/>
          <w:szCs w:val="26"/>
        </w:rPr>
        <w:t>ongoing judicial proceedings.</w:t>
      </w:r>
    </w:p>
    <w:p w:rsidR="0037445C" w:rsidP="57283B4A" w:rsidRDefault="0037445C" w14:paraId="62B08804" w14:textId="77777777">
      <w:pPr>
        <w:pStyle w:val="ListParagraph"/>
        <w:numPr>
          <w:ilvl w:val="0"/>
          <w:numId w:val="4"/>
        </w:numPr>
        <w:spacing w:after="0" w:line="480" w:lineRule="auto"/>
        <w:contextualSpacing w:val="0"/>
        <w:rPr>
          <w:rFonts w:ascii="Times New Roman" w:hAnsi="Times New Roman" w:cs="Times New Roman"/>
          <w:b w:val="1"/>
          <w:bCs w:val="1"/>
          <w:sz w:val="26"/>
          <w:szCs w:val="26"/>
        </w:rPr>
      </w:pPr>
      <w:r w:rsidRPr="57283B4A" w:rsidR="0037445C">
        <w:rPr>
          <w:rFonts w:ascii="Times New Roman" w:hAnsi="Times New Roman" w:cs="Times New Roman"/>
          <w:b w:val="1"/>
          <w:bCs w:val="1"/>
          <w:sz w:val="26"/>
          <w:szCs w:val="26"/>
        </w:rPr>
        <w:t>Standard of Review</w:t>
      </w:r>
    </w:p>
    <w:p w:rsidR="00830ADB" w:rsidP="57283B4A" w:rsidRDefault="00830ADB" w14:paraId="791FD789" w14:textId="432314F7">
      <w:pPr>
        <w:spacing w:after="0" w:line="480" w:lineRule="auto"/>
        <w:ind w:firstLine="720"/>
        <w:jc w:val="both"/>
        <w:rPr>
          <w:rFonts w:ascii="Times New Roman" w:hAnsi="Times New Roman" w:cs="Times New Roman"/>
          <w:sz w:val="26"/>
          <w:szCs w:val="26"/>
        </w:rPr>
      </w:pPr>
      <w:r w:rsidRPr="57283B4A" w:rsidR="00830ADB">
        <w:rPr>
          <w:rFonts w:ascii="Times New Roman" w:hAnsi="Times New Roman" w:cs="Times New Roman"/>
          <w:sz w:val="26"/>
          <w:szCs w:val="26"/>
        </w:rPr>
        <w:t xml:space="preserve">The </w:t>
      </w:r>
      <w:r w:rsidRPr="57283B4A" w:rsidR="00830ADB">
        <w:rPr>
          <w:rFonts w:ascii="Times New Roman" w:hAnsi="Times New Roman" w:cs="Times New Roman"/>
          <w:sz w:val="26"/>
          <w:szCs w:val="26"/>
        </w:rPr>
        <w:t>All Writs</w:t>
      </w:r>
      <w:r w:rsidRPr="57283B4A" w:rsidR="00830ADB">
        <w:rPr>
          <w:rFonts w:ascii="Times New Roman" w:hAnsi="Times New Roman" w:cs="Times New Roman"/>
          <w:sz w:val="26"/>
          <w:szCs w:val="26"/>
        </w:rPr>
        <w:t xml:space="preserve"> Act provides federal courts with a powerful tool to preserve the integrity of their jurisdiction to adjudicate claims before them. </w:t>
      </w:r>
      <w:r w:rsidRPr="57283B4A" w:rsidR="00830ADB">
        <w:rPr>
          <w:rFonts w:ascii="Times New Roman" w:hAnsi="Times New Roman" w:cs="Times New Roman"/>
          <w:i w:val="1"/>
          <w:iCs w:val="1"/>
          <w:sz w:val="26"/>
          <w:szCs w:val="26"/>
        </w:rPr>
        <w:t xml:space="preserve">See </w:t>
      </w:r>
      <w:r w:rsidRPr="57283B4A" w:rsidR="00830ADB">
        <w:rPr>
          <w:rFonts w:ascii="Times New Roman" w:hAnsi="Times New Roman" w:cs="Times New Roman"/>
          <w:sz w:val="26"/>
          <w:szCs w:val="26"/>
        </w:rPr>
        <w:t>28 U.S.C. § 1651(a)</w:t>
      </w:r>
      <w:r w:rsidRPr="57283B4A" w:rsidR="00E64FFF">
        <w:rPr>
          <w:rFonts w:ascii="Times New Roman" w:hAnsi="Times New Roman" w:cs="Times New Roman"/>
          <w:sz w:val="26"/>
          <w:szCs w:val="26"/>
        </w:rPr>
        <w:t xml:space="preserve"> (authorizing federal courts to “issue all writs necessary or appropriate in aid of their respective jurisdictions and agreeable to the usages and principles of law”); </w:t>
      </w:r>
      <w:r w:rsidRPr="57283B4A" w:rsidR="00E64FFF">
        <w:rPr>
          <w:rFonts w:ascii="Times New Roman" w:hAnsi="Times New Roman" w:cs="Times New Roman"/>
          <w:i w:val="1"/>
          <w:iCs w:val="1"/>
          <w:sz w:val="26"/>
          <w:szCs w:val="26"/>
        </w:rPr>
        <w:t>TBG v. Bendis</w:t>
      </w:r>
      <w:r w:rsidRPr="57283B4A" w:rsidR="00E64FFF">
        <w:rPr>
          <w:rFonts w:ascii="Times New Roman" w:hAnsi="Times New Roman" w:cs="Times New Roman"/>
          <w:sz w:val="26"/>
          <w:szCs w:val="26"/>
        </w:rPr>
        <w:t xml:space="preserve">, 36 F.3d 916, 926 (10th Cir. 1994). The Act encompasses a federal court’s power to “maintain the status quo by injunction pending review of an agency’s action through the prescribed statutory channels.” </w:t>
      </w:r>
      <w:r w:rsidRPr="57283B4A" w:rsidR="00E64FFF">
        <w:rPr>
          <w:rFonts w:ascii="Times New Roman" w:hAnsi="Times New Roman" w:cs="Times New Roman"/>
          <w:i w:val="1"/>
          <w:iCs w:val="1"/>
          <w:sz w:val="26"/>
          <w:szCs w:val="26"/>
        </w:rPr>
        <w:t>F.T.C. v. Dean Foods Co.</w:t>
      </w:r>
      <w:r w:rsidRPr="57283B4A" w:rsidR="00E64FFF">
        <w:rPr>
          <w:rFonts w:ascii="Times New Roman" w:hAnsi="Times New Roman" w:cs="Times New Roman"/>
          <w:sz w:val="26"/>
          <w:szCs w:val="26"/>
        </w:rPr>
        <w:t xml:space="preserve">, 384 U.S. 597, 604 (1966). </w:t>
      </w:r>
      <w:r w:rsidRPr="57283B4A" w:rsidR="00887F52">
        <w:rPr>
          <w:rFonts w:ascii="Times New Roman" w:hAnsi="Times New Roman" w:cs="Times New Roman"/>
          <w:sz w:val="26"/>
          <w:szCs w:val="26"/>
        </w:rPr>
        <w:t xml:space="preserve">Courts have </w:t>
      </w:r>
      <w:r w:rsidRPr="57283B4A" w:rsidR="00825297">
        <w:rPr>
          <w:rFonts w:ascii="Times New Roman" w:hAnsi="Times New Roman" w:cs="Times New Roman"/>
          <w:sz w:val="26"/>
          <w:szCs w:val="26"/>
        </w:rPr>
        <w:t xml:space="preserve">found that the Act should be broadly construed to “achieve all rational ends of law.” </w:t>
      </w:r>
      <w:r w:rsidRPr="57283B4A" w:rsidR="00825297">
        <w:rPr>
          <w:rFonts w:ascii="Times New Roman" w:hAnsi="Times New Roman" w:cs="Times New Roman"/>
          <w:i w:val="1"/>
          <w:iCs w:val="1"/>
          <w:sz w:val="26"/>
          <w:szCs w:val="26"/>
        </w:rPr>
        <w:t>California v. M&amp;P Investments</w:t>
      </w:r>
      <w:r w:rsidRPr="57283B4A" w:rsidR="00825297">
        <w:rPr>
          <w:rFonts w:ascii="Times New Roman" w:hAnsi="Times New Roman" w:cs="Times New Roman"/>
          <w:sz w:val="26"/>
          <w:szCs w:val="26"/>
        </w:rPr>
        <w:t xml:space="preserve">, 46 F. </w:t>
      </w:r>
      <w:r w:rsidRPr="57283B4A" w:rsidR="00825297">
        <w:rPr>
          <w:rFonts w:ascii="Times New Roman" w:hAnsi="Times New Roman" w:cs="Times New Roman"/>
          <w:sz w:val="26"/>
          <w:szCs w:val="26"/>
        </w:rPr>
        <w:t>App’x</w:t>
      </w:r>
      <w:r w:rsidRPr="57283B4A" w:rsidR="00825297">
        <w:rPr>
          <w:rFonts w:ascii="Times New Roman" w:hAnsi="Times New Roman" w:cs="Times New Roman"/>
          <w:sz w:val="26"/>
          <w:szCs w:val="26"/>
        </w:rPr>
        <w:t xml:space="preserve"> 876, 878 (9th Cir. 2002) (quoting </w:t>
      </w:r>
      <w:r w:rsidRPr="57283B4A" w:rsidR="00825297">
        <w:rPr>
          <w:rFonts w:ascii="Times New Roman" w:hAnsi="Times New Roman" w:cs="Times New Roman"/>
          <w:i w:val="1"/>
          <w:iCs w:val="1"/>
          <w:sz w:val="26"/>
          <w:szCs w:val="26"/>
        </w:rPr>
        <w:t>Adams v. United States</w:t>
      </w:r>
      <w:r w:rsidRPr="57283B4A" w:rsidR="00825297">
        <w:rPr>
          <w:rFonts w:ascii="Times New Roman" w:hAnsi="Times New Roman" w:cs="Times New Roman"/>
          <w:sz w:val="26"/>
          <w:szCs w:val="26"/>
        </w:rPr>
        <w:t>, 317 U.S. 269, 273 (1942)).</w:t>
      </w:r>
    </w:p>
    <w:p w:rsidR="00442BE2" w:rsidP="57283B4A" w:rsidRDefault="00490252" w14:paraId="000849C0" w14:textId="01713A8F">
      <w:pPr>
        <w:spacing w:after="0" w:line="480" w:lineRule="auto"/>
        <w:ind w:firstLine="720"/>
        <w:jc w:val="both"/>
        <w:rPr>
          <w:rFonts w:ascii="Times New Roman" w:hAnsi="Times New Roman" w:cs="Times New Roman"/>
          <w:sz w:val="26"/>
          <w:szCs w:val="26"/>
        </w:rPr>
      </w:pPr>
      <w:r w:rsidRPr="57283B4A" w:rsidR="00490252">
        <w:rPr>
          <w:rFonts w:ascii="Times New Roman" w:hAnsi="Times New Roman" w:cs="Times New Roman"/>
          <w:sz w:val="26"/>
          <w:szCs w:val="26"/>
        </w:rPr>
        <w:t xml:space="preserve">The principles of the </w:t>
      </w:r>
      <w:r w:rsidRPr="57283B4A" w:rsidR="00490252">
        <w:rPr>
          <w:rFonts w:ascii="Times New Roman" w:hAnsi="Times New Roman" w:cs="Times New Roman"/>
          <w:sz w:val="26"/>
          <w:szCs w:val="26"/>
        </w:rPr>
        <w:t>All Writs</w:t>
      </w:r>
      <w:r w:rsidRPr="57283B4A" w:rsidR="00490252">
        <w:rPr>
          <w:rFonts w:ascii="Times New Roman" w:hAnsi="Times New Roman" w:cs="Times New Roman"/>
          <w:sz w:val="26"/>
          <w:szCs w:val="26"/>
        </w:rPr>
        <w:t xml:space="preserve"> Act are well established by the U.S. Supreme Court. </w:t>
      </w:r>
      <w:r w:rsidRPr="57283B4A" w:rsidR="00490252">
        <w:rPr>
          <w:rFonts w:ascii="Times New Roman" w:hAnsi="Times New Roman" w:cs="Times New Roman"/>
          <w:i w:val="1"/>
          <w:iCs w:val="1"/>
          <w:sz w:val="26"/>
          <w:szCs w:val="26"/>
        </w:rPr>
        <w:t>See, e.g.</w:t>
      </w:r>
      <w:r w:rsidRPr="57283B4A" w:rsidR="00490252">
        <w:rPr>
          <w:rFonts w:ascii="Times New Roman" w:hAnsi="Times New Roman" w:cs="Times New Roman"/>
          <w:sz w:val="26"/>
          <w:szCs w:val="26"/>
        </w:rPr>
        <w:t xml:space="preserve">, </w:t>
      </w:r>
      <w:r w:rsidRPr="57283B4A" w:rsidR="00490252">
        <w:rPr>
          <w:rFonts w:ascii="Times New Roman" w:hAnsi="Times New Roman" w:cs="Times New Roman"/>
          <w:i w:val="1"/>
          <w:iCs w:val="1"/>
          <w:sz w:val="26"/>
          <w:szCs w:val="26"/>
        </w:rPr>
        <w:t xml:space="preserve">United States v. </w:t>
      </w:r>
      <w:r w:rsidRPr="57283B4A" w:rsidR="00490252">
        <w:rPr>
          <w:rFonts w:ascii="Times New Roman" w:hAnsi="Times New Roman" w:cs="Times New Roman"/>
          <w:i w:val="1"/>
          <w:iCs w:val="1"/>
          <w:sz w:val="26"/>
          <w:szCs w:val="26"/>
        </w:rPr>
        <w:t>N.Y. Tel. Co.</w:t>
      </w:r>
      <w:r w:rsidRPr="57283B4A" w:rsidR="00490252">
        <w:rPr>
          <w:rFonts w:ascii="Times New Roman" w:hAnsi="Times New Roman" w:cs="Times New Roman"/>
          <w:sz w:val="26"/>
          <w:szCs w:val="26"/>
        </w:rPr>
        <w:t>, 434 U.S. 159</w:t>
      </w:r>
      <w:r w:rsidRPr="57283B4A" w:rsidR="000E227D">
        <w:rPr>
          <w:rFonts w:ascii="Times New Roman" w:hAnsi="Times New Roman" w:cs="Times New Roman"/>
          <w:sz w:val="26"/>
          <w:szCs w:val="26"/>
        </w:rPr>
        <w:t>, 173</w:t>
      </w:r>
      <w:r w:rsidRPr="57283B4A" w:rsidR="00490252">
        <w:rPr>
          <w:rFonts w:ascii="Times New Roman" w:hAnsi="Times New Roman" w:cs="Times New Roman"/>
          <w:sz w:val="26"/>
          <w:szCs w:val="26"/>
        </w:rPr>
        <w:t xml:space="preserve"> (1977)</w:t>
      </w:r>
      <w:r w:rsidRPr="57283B4A" w:rsidR="000E227D">
        <w:rPr>
          <w:rFonts w:ascii="Times New Roman" w:hAnsi="Times New Roman" w:cs="Times New Roman"/>
          <w:sz w:val="26"/>
          <w:szCs w:val="26"/>
        </w:rPr>
        <w:t xml:space="preserve"> (holding that the All Writs Act allows a federal court to “avail itself of all auxiliary writs as aids in the performance of its duties, when the use of such historic aids is calculated in its sound judgment to achieve the ends of justice entrusted to it”)</w:t>
      </w:r>
      <w:r w:rsidRPr="57283B4A" w:rsidR="001E4358">
        <w:rPr>
          <w:rFonts w:ascii="Times New Roman" w:hAnsi="Times New Roman" w:cs="Times New Roman"/>
          <w:sz w:val="26"/>
          <w:szCs w:val="26"/>
        </w:rPr>
        <w:t xml:space="preserve">; </w:t>
      </w:r>
      <w:r w:rsidRPr="57283B4A" w:rsidR="001E4358">
        <w:rPr>
          <w:rFonts w:ascii="Times New Roman" w:hAnsi="Times New Roman" w:cs="Times New Roman"/>
          <w:i w:val="1"/>
          <w:iCs w:val="1"/>
          <w:sz w:val="26"/>
          <w:szCs w:val="26"/>
        </w:rPr>
        <w:t>Chambers v. NASCO, Inc.</w:t>
      </w:r>
      <w:r w:rsidRPr="57283B4A" w:rsidR="001E4358">
        <w:rPr>
          <w:rFonts w:ascii="Times New Roman" w:hAnsi="Times New Roman" w:cs="Times New Roman"/>
          <w:sz w:val="26"/>
          <w:szCs w:val="26"/>
        </w:rPr>
        <w:t>, 501 U.S. 32, 42 (1991) (recognizing the “control necessarily vested in courts to manage their own affairs so as to achieve the orderly and expeditious disposition of cases”) (citation omitted)</w:t>
      </w:r>
      <w:r w:rsidRPr="57283B4A" w:rsidR="00490252">
        <w:rPr>
          <w:rFonts w:ascii="Times New Roman" w:hAnsi="Times New Roman" w:cs="Times New Roman"/>
          <w:sz w:val="26"/>
          <w:szCs w:val="26"/>
        </w:rPr>
        <w:t>.</w:t>
      </w:r>
      <w:r w:rsidRPr="57283B4A" w:rsidR="000E227D">
        <w:rPr>
          <w:rFonts w:ascii="Times New Roman" w:hAnsi="Times New Roman" w:cs="Times New Roman"/>
          <w:sz w:val="26"/>
          <w:szCs w:val="26"/>
        </w:rPr>
        <w:t xml:space="preserve"> </w:t>
      </w:r>
    </w:p>
    <w:p w:rsidR="000F7BC8" w:rsidP="57283B4A" w:rsidRDefault="000F7BC8" w14:paraId="71C23C3C" w14:textId="2F0EF648">
      <w:pPr>
        <w:spacing w:after="0" w:line="480" w:lineRule="auto"/>
        <w:ind w:firstLine="720"/>
        <w:jc w:val="both"/>
        <w:rPr>
          <w:rFonts w:ascii="Times New Roman" w:hAnsi="Times New Roman" w:cs="Times New Roman"/>
          <w:sz w:val="26"/>
          <w:szCs w:val="26"/>
        </w:rPr>
      </w:pPr>
      <w:r w:rsidRPr="57283B4A" w:rsidR="000F7BC8">
        <w:rPr>
          <w:rFonts w:ascii="Times New Roman" w:hAnsi="Times New Roman" w:cs="Times New Roman"/>
          <w:sz w:val="26"/>
          <w:szCs w:val="26"/>
        </w:rPr>
        <w:t xml:space="preserve">Unlike the requirements of a traditional </w:t>
      </w:r>
      <w:r w:rsidRPr="57283B4A" w:rsidR="0013588B">
        <w:rPr>
          <w:rFonts w:ascii="Times New Roman" w:hAnsi="Times New Roman" w:cs="Times New Roman"/>
          <w:sz w:val="26"/>
          <w:szCs w:val="26"/>
        </w:rPr>
        <w:t>temporary restraining order</w:t>
      </w:r>
      <w:r w:rsidRPr="57283B4A" w:rsidR="000F7BC8">
        <w:rPr>
          <w:rFonts w:ascii="Times New Roman" w:hAnsi="Times New Roman" w:cs="Times New Roman"/>
          <w:sz w:val="26"/>
          <w:szCs w:val="26"/>
        </w:rPr>
        <w:t xml:space="preserve">, an injunction based on the </w:t>
      </w:r>
      <w:r w:rsidRPr="57283B4A" w:rsidR="000F7BC8">
        <w:rPr>
          <w:rFonts w:ascii="Times New Roman" w:hAnsi="Times New Roman" w:cs="Times New Roman"/>
          <w:sz w:val="26"/>
          <w:szCs w:val="26"/>
        </w:rPr>
        <w:t>All Writs</w:t>
      </w:r>
      <w:r w:rsidRPr="57283B4A" w:rsidR="000F7BC8">
        <w:rPr>
          <w:rFonts w:ascii="Times New Roman" w:hAnsi="Times New Roman" w:cs="Times New Roman"/>
          <w:sz w:val="26"/>
          <w:szCs w:val="26"/>
        </w:rPr>
        <w:t xml:space="preserve"> Act requires only that a party identify a threat to the integrity of an ongoing or prospective proceeding, or of a past order or judgment. </w:t>
      </w:r>
      <w:r w:rsidRPr="57283B4A" w:rsidR="000F7BC8">
        <w:rPr>
          <w:rFonts w:ascii="Times New Roman" w:hAnsi="Times New Roman" w:cs="Times New Roman"/>
          <w:i w:val="1"/>
          <w:iCs w:val="1"/>
          <w:sz w:val="26"/>
          <w:szCs w:val="26"/>
        </w:rPr>
        <w:t>Klay</w:t>
      </w:r>
      <w:r w:rsidRPr="57283B4A" w:rsidR="007736BB">
        <w:rPr>
          <w:rFonts w:ascii="Times New Roman" w:hAnsi="Times New Roman" w:cs="Times New Roman"/>
          <w:i w:val="1"/>
          <w:iCs w:val="1"/>
          <w:sz w:val="26"/>
          <w:szCs w:val="26"/>
        </w:rPr>
        <w:t xml:space="preserve"> v. United </w:t>
      </w:r>
      <w:r w:rsidRPr="57283B4A" w:rsidR="007736BB">
        <w:rPr>
          <w:rFonts w:ascii="Times New Roman" w:hAnsi="Times New Roman" w:cs="Times New Roman"/>
          <w:i w:val="1"/>
          <w:iCs w:val="1"/>
          <w:sz w:val="26"/>
          <w:szCs w:val="26"/>
        </w:rPr>
        <w:t>Healthgroup</w:t>
      </w:r>
      <w:r w:rsidRPr="57283B4A" w:rsidR="007736BB">
        <w:rPr>
          <w:rFonts w:ascii="Times New Roman" w:hAnsi="Times New Roman" w:cs="Times New Roman"/>
          <w:i w:val="1"/>
          <w:iCs w:val="1"/>
          <w:sz w:val="26"/>
          <w:szCs w:val="26"/>
        </w:rPr>
        <w:t>, Inc.</w:t>
      </w:r>
      <w:r w:rsidRPr="57283B4A" w:rsidR="007736BB">
        <w:rPr>
          <w:rFonts w:ascii="Times New Roman" w:hAnsi="Times New Roman" w:cs="Times New Roman"/>
          <w:sz w:val="26"/>
          <w:szCs w:val="26"/>
        </w:rPr>
        <w:t>, 376 F.3d 1092</w:t>
      </w:r>
      <w:r w:rsidRPr="57283B4A" w:rsidR="000F7BC8">
        <w:rPr>
          <w:rFonts w:ascii="Times New Roman" w:hAnsi="Times New Roman" w:cs="Times New Roman"/>
          <w:sz w:val="26"/>
          <w:szCs w:val="26"/>
        </w:rPr>
        <w:t xml:space="preserve">, </w:t>
      </w:r>
      <w:r w:rsidRPr="57283B4A" w:rsidR="007736BB">
        <w:rPr>
          <w:rFonts w:ascii="Times New Roman" w:hAnsi="Times New Roman" w:cs="Times New Roman"/>
          <w:sz w:val="26"/>
          <w:szCs w:val="26"/>
        </w:rPr>
        <w:t xml:space="preserve">1097 (a court may enjoin almost any conduct “which, left unchecked, would have … the practical effect of diminishing the court’s power to bring the litigation to a natural conclusion”). </w:t>
      </w:r>
      <w:r w:rsidRPr="57283B4A" w:rsidR="00236DDB">
        <w:rPr>
          <w:rFonts w:ascii="Times New Roman" w:hAnsi="Times New Roman" w:cs="Times New Roman"/>
          <w:sz w:val="26"/>
          <w:szCs w:val="26"/>
        </w:rPr>
        <w:t xml:space="preserve">Thus, to issue an injunction pursuant to the </w:t>
      </w:r>
      <w:r w:rsidRPr="57283B4A" w:rsidR="00236DDB">
        <w:rPr>
          <w:rFonts w:ascii="Times New Roman" w:hAnsi="Times New Roman" w:cs="Times New Roman"/>
          <w:sz w:val="26"/>
          <w:szCs w:val="26"/>
        </w:rPr>
        <w:t>All Writs</w:t>
      </w:r>
      <w:r w:rsidRPr="57283B4A" w:rsidR="00236DDB">
        <w:rPr>
          <w:rFonts w:ascii="Times New Roman" w:hAnsi="Times New Roman" w:cs="Times New Roman"/>
          <w:sz w:val="26"/>
          <w:szCs w:val="26"/>
        </w:rPr>
        <w:t xml:space="preserve"> Act, this Court need not find that there is a likelihood of success on the merits of the underlying claims. </w:t>
      </w:r>
      <w:r w:rsidRPr="57283B4A" w:rsidR="00236DDB">
        <w:rPr>
          <w:rFonts w:ascii="Times New Roman" w:hAnsi="Times New Roman" w:cs="Times New Roman"/>
          <w:i w:val="1"/>
          <w:iCs w:val="1"/>
          <w:sz w:val="26"/>
          <w:szCs w:val="26"/>
        </w:rPr>
        <w:t>See, e.g.</w:t>
      </w:r>
      <w:r w:rsidRPr="57283B4A" w:rsidR="00236DDB">
        <w:rPr>
          <w:rFonts w:ascii="Times New Roman" w:hAnsi="Times New Roman" w:cs="Times New Roman"/>
          <w:sz w:val="26"/>
          <w:szCs w:val="26"/>
        </w:rPr>
        <w:t xml:space="preserve">, </w:t>
      </w:r>
      <w:r w:rsidRPr="57283B4A" w:rsidR="00236DDB">
        <w:rPr>
          <w:rFonts w:ascii="Times New Roman" w:hAnsi="Times New Roman" w:cs="Times New Roman"/>
          <w:i w:val="1"/>
          <w:iCs w:val="1"/>
          <w:sz w:val="26"/>
          <w:szCs w:val="26"/>
        </w:rPr>
        <w:t xml:space="preserve">Arctic Zero, Inc. v. Aspen </w:t>
      </w:r>
      <w:r w:rsidRPr="57283B4A" w:rsidR="00236DDB">
        <w:rPr>
          <w:rFonts w:ascii="Times New Roman" w:hAnsi="Times New Roman" w:cs="Times New Roman"/>
          <w:i w:val="1"/>
          <w:iCs w:val="1"/>
          <w:sz w:val="26"/>
          <w:szCs w:val="26"/>
        </w:rPr>
        <w:t>Hills, Inc.</w:t>
      </w:r>
      <w:r w:rsidRPr="57283B4A" w:rsidR="00236DDB">
        <w:rPr>
          <w:rFonts w:ascii="Times New Roman" w:hAnsi="Times New Roman" w:cs="Times New Roman"/>
          <w:sz w:val="26"/>
          <w:szCs w:val="26"/>
        </w:rPr>
        <w:t>, No. 17-</w:t>
      </w:r>
      <w:r w:rsidRPr="57283B4A" w:rsidR="0013588B">
        <w:rPr>
          <w:rFonts w:ascii="Times New Roman" w:hAnsi="Times New Roman" w:cs="Times New Roman"/>
          <w:sz w:val="26"/>
          <w:szCs w:val="26"/>
        </w:rPr>
        <w:t>CV-00459-AJB-JMA, 2018 WL 2018115, at *5 (S.D. Cal. May 1, 2018) (distinguishing All Writs Act injunction from traditional preliminary injunction). Rather</w:t>
      </w:r>
      <w:r w:rsidRPr="57283B4A" w:rsidR="00E214E8">
        <w:rPr>
          <w:rFonts w:ascii="Times New Roman" w:hAnsi="Times New Roman" w:cs="Times New Roman"/>
          <w:sz w:val="26"/>
          <w:szCs w:val="26"/>
        </w:rPr>
        <w:t>, it is sufficient for the Court to find that a party has identified a threat to the integrity of or “natural conclusion” of an ongoing proceeding such as the instant habeas action.</w:t>
      </w:r>
    </w:p>
    <w:p w:rsidR="00C63FDB" w:rsidP="57283B4A" w:rsidRDefault="00C63FDB" w14:paraId="7D76B2D5" w14:textId="323822EC">
      <w:pPr>
        <w:spacing w:after="0" w:line="480" w:lineRule="auto"/>
        <w:ind w:firstLine="720"/>
        <w:jc w:val="both"/>
        <w:rPr>
          <w:rFonts w:ascii="Times New Roman" w:hAnsi="Times New Roman" w:cs="Times New Roman"/>
          <w:sz w:val="26"/>
          <w:szCs w:val="26"/>
        </w:rPr>
      </w:pPr>
      <w:r w:rsidRPr="57283B4A" w:rsidR="00C63FDB">
        <w:rPr>
          <w:rFonts w:ascii="Times New Roman" w:hAnsi="Times New Roman" w:cs="Times New Roman"/>
          <w:sz w:val="26"/>
          <w:szCs w:val="26"/>
        </w:rPr>
        <w:t>Courts also retain their inherent equitable authority to enjoin transfers during the pendency of habeas proceedings</w:t>
      </w:r>
      <w:r w:rsidRPr="57283B4A" w:rsidR="00A7636A">
        <w:rPr>
          <w:rFonts w:ascii="Times New Roman" w:hAnsi="Times New Roman" w:cs="Times New Roman"/>
          <w:sz w:val="26"/>
          <w:szCs w:val="26"/>
        </w:rPr>
        <w:t xml:space="preserve">. </w:t>
      </w:r>
      <w:r w:rsidRPr="57283B4A" w:rsidR="00E00BC1">
        <w:rPr>
          <w:rFonts w:ascii="Times New Roman" w:hAnsi="Times New Roman" w:cs="Times New Roman"/>
          <w:i w:val="1"/>
          <w:iCs w:val="1"/>
          <w:sz w:val="26"/>
          <w:szCs w:val="26"/>
        </w:rPr>
        <w:t>See Schlicher v. Thomas</w:t>
      </w:r>
      <w:r w:rsidRPr="57283B4A" w:rsidR="00E00BC1">
        <w:rPr>
          <w:rFonts w:ascii="Times New Roman" w:hAnsi="Times New Roman" w:cs="Times New Roman"/>
          <w:sz w:val="26"/>
          <w:szCs w:val="26"/>
        </w:rPr>
        <w:t xml:space="preserve">, 111 F.3d 777, 781 (10th Cir. 1997) (recognizing that federal courts are vested with </w:t>
      </w:r>
      <w:r w:rsidRPr="57283B4A" w:rsidR="008E742A">
        <w:rPr>
          <w:rFonts w:ascii="Times New Roman" w:hAnsi="Times New Roman" w:cs="Times New Roman"/>
          <w:sz w:val="26"/>
          <w:szCs w:val="26"/>
        </w:rPr>
        <w:t>inherent power</w:t>
      </w:r>
      <w:r w:rsidRPr="57283B4A" w:rsidR="00E00BC1">
        <w:rPr>
          <w:rFonts w:ascii="Times New Roman" w:hAnsi="Times New Roman" w:cs="Times New Roman"/>
          <w:sz w:val="26"/>
          <w:szCs w:val="26"/>
        </w:rPr>
        <w:t xml:space="preserve"> to enter orders </w:t>
      </w:r>
      <w:r w:rsidRPr="57283B4A" w:rsidR="008E742A">
        <w:rPr>
          <w:rFonts w:ascii="Times New Roman" w:hAnsi="Times New Roman" w:cs="Times New Roman"/>
          <w:sz w:val="26"/>
          <w:szCs w:val="26"/>
        </w:rPr>
        <w:t>“</w:t>
      </w:r>
      <w:r w:rsidRPr="57283B4A" w:rsidR="00E00BC1">
        <w:rPr>
          <w:rFonts w:ascii="Times New Roman" w:hAnsi="Times New Roman" w:cs="Times New Roman"/>
          <w:sz w:val="26"/>
          <w:szCs w:val="26"/>
        </w:rPr>
        <w:t>necessary or appropriate</w:t>
      </w:r>
      <w:r w:rsidRPr="57283B4A" w:rsidR="008E742A">
        <w:rPr>
          <w:rFonts w:ascii="Times New Roman" w:hAnsi="Times New Roman" w:cs="Times New Roman"/>
          <w:sz w:val="26"/>
          <w:szCs w:val="26"/>
        </w:rPr>
        <w:t>”</w:t>
      </w:r>
      <w:r w:rsidRPr="57283B4A" w:rsidR="00E00BC1">
        <w:rPr>
          <w:rFonts w:ascii="Times New Roman" w:hAnsi="Times New Roman" w:cs="Times New Roman"/>
          <w:sz w:val="26"/>
          <w:szCs w:val="26"/>
        </w:rPr>
        <w:t xml:space="preserve"> in aid of their jurisdiction) (cleaned up)</w:t>
      </w:r>
      <w:r w:rsidRPr="57283B4A" w:rsidR="00A7636A">
        <w:rPr>
          <w:rFonts w:ascii="Times New Roman" w:hAnsi="Times New Roman" w:cs="Times New Roman"/>
          <w:sz w:val="26"/>
          <w:szCs w:val="26"/>
        </w:rPr>
        <w:t>.</w:t>
      </w:r>
      <w:r w:rsidRPr="57283B4A" w:rsidR="00C63FDB">
        <w:rPr>
          <w:rFonts w:ascii="Times New Roman" w:hAnsi="Times New Roman" w:cs="Times New Roman"/>
          <w:sz w:val="26"/>
          <w:szCs w:val="26"/>
        </w:rPr>
        <w:t xml:space="preserve"> </w:t>
      </w:r>
      <w:r w:rsidRPr="57283B4A" w:rsidR="00A7636A">
        <w:rPr>
          <w:rFonts w:ascii="Times New Roman" w:hAnsi="Times New Roman" w:cs="Times New Roman"/>
          <w:sz w:val="26"/>
          <w:szCs w:val="26"/>
        </w:rPr>
        <w:t>C</w:t>
      </w:r>
      <w:r w:rsidRPr="57283B4A" w:rsidR="00C63FDB">
        <w:rPr>
          <w:rFonts w:ascii="Times New Roman" w:hAnsi="Times New Roman" w:cs="Times New Roman"/>
          <w:sz w:val="26"/>
          <w:szCs w:val="26"/>
        </w:rPr>
        <w:t>ourts regularly exercise that authority</w:t>
      </w:r>
      <w:r w:rsidRPr="57283B4A" w:rsidR="00C273C9">
        <w:rPr>
          <w:rFonts w:ascii="Times New Roman" w:hAnsi="Times New Roman" w:cs="Times New Roman"/>
          <w:sz w:val="26"/>
          <w:szCs w:val="26"/>
        </w:rPr>
        <w:t>, including within this District</w:t>
      </w:r>
      <w:r w:rsidRPr="57283B4A" w:rsidR="00C63FDB">
        <w:rPr>
          <w:rFonts w:ascii="Times New Roman" w:hAnsi="Times New Roman" w:cs="Times New Roman"/>
          <w:sz w:val="26"/>
          <w:szCs w:val="26"/>
        </w:rPr>
        <w:t xml:space="preserve">. </w:t>
      </w:r>
      <w:r w:rsidRPr="57283B4A" w:rsidR="00C63FDB">
        <w:rPr>
          <w:rFonts w:ascii="Times New Roman" w:hAnsi="Times New Roman" w:cs="Times New Roman"/>
          <w:i w:val="1"/>
          <w:iCs w:val="1"/>
          <w:sz w:val="26"/>
          <w:szCs w:val="26"/>
        </w:rPr>
        <w:t>See, e.g.</w:t>
      </w:r>
      <w:r w:rsidRPr="57283B4A" w:rsidR="00C63FDB">
        <w:rPr>
          <w:rFonts w:ascii="Times New Roman" w:hAnsi="Times New Roman" w:cs="Times New Roman"/>
          <w:sz w:val="26"/>
          <w:szCs w:val="26"/>
        </w:rPr>
        <w:t>,</w:t>
      </w:r>
      <w:r w:rsidRPr="57283B4A" w:rsidR="00846894">
        <w:rPr>
          <w:rFonts w:ascii="Times New Roman" w:hAnsi="Times New Roman" w:cs="Times New Roman"/>
          <w:sz w:val="26"/>
          <w:szCs w:val="26"/>
        </w:rPr>
        <w:t xml:space="preserve"> </w:t>
      </w:r>
      <w:r w:rsidRPr="57283B4A" w:rsidR="00846894">
        <w:rPr>
          <w:rFonts w:ascii="Times New Roman" w:hAnsi="Times New Roman" w:cs="Times New Roman"/>
          <w:i w:val="1"/>
          <w:iCs w:val="1"/>
          <w:sz w:val="26"/>
          <w:szCs w:val="26"/>
        </w:rPr>
        <w:t>Entza</w:t>
      </w:r>
      <w:r w:rsidRPr="57283B4A" w:rsidR="00846894">
        <w:rPr>
          <w:rFonts w:ascii="Times New Roman" w:hAnsi="Times New Roman" w:cs="Times New Roman"/>
          <w:i w:val="1"/>
          <w:iCs w:val="1"/>
          <w:sz w:val="26"/>
          <w:szCs w:val="26"/>
        </w:rPr>
        <w:t xml:space="preserve"> </w:t>
      </w:r>
      <w:r w:rsidRPr="57283B4A" w:rsidR="00846894">
        <w:rPr>
          <w:rFonts w:ascii="Times New Roman" w:hAnsi="Times New Roman" w:cs="Times New Roman"/>
          <w:i w:val="1"/>
          <w:iCs w:val="1"/>
          <w:sz w:val="26"/>
          <w:szCs w:val="26"/>
        </w:rPr>
        <w:t>Chupe</w:t>
      </w:r>
      <w:r w:rsidRPr="57283B4A" w:rsidR="00846894">
        <w:rPr>
          <w:rFonts w:ascii="Times New Roman" w:hAnsi="Times New Roman" w:cs="Times New Roman"/>
          <w:i w:val="1"/>
          <w:iCs w:val="1"/>
          <w:sz w:val="26"/>
          <w:szCs w:val="26"/>
        </w:rPr>
        <w:t xml:space="preserve"> v. Bondi</w:t>
      </w:r>
      <w:r w:rsidRPr="57283B4A" w:rsidR="00FD7E25">
        <w:rPr>
          <w:rFonts w:ascii="Times New Roman" w:hAnsi="Times New Roman" w:cs="Times New Roman"/>
          <w:sz w:val="26"/>
          <w:szCs w:val="26"/>
        </w:rPr>
        <w:t>, No. 2:26-cv-00318-MIS-JMR, ECF No. 3 at 3 (D.N.M. Feb. 10, 2026)</w:t>
      </w:r>
      <w:r w:rsidRPr="57283B4A" w:rsidR="00846894">
        <w:rPr>
          <w:rFonts w:ascii="Times New Roman" w:hAnsi="Times New Roman" w:cs="Times New Roman"/>
          <w:sz w:val="26"/>
          <w:szCs w:val="26"/>
        </w:rPr>
        <w:t>;</w:t>
      </w:r>
      <w:r w:rsidRPr="57283B4A" w:rsidR="00FD7E25">
        <w:rPr>
          <w:rFonts w:ascii="Times New Roman" w:hAnsi="Times New Roman" w:cs="Times New Roman"/>
          <w:sz w:val="26"/>
          <w:szCs w:val="26"/>
        </w:rPr>
        <w:t xml:space="preserve"> </w:t>
      </w:r>
      <w:r w:rsidRPr="57283B4A" w:rsidR="004B7738">
        <w:rPr>
          <w:rFonts w:ascii="Times New Roman" w:hAnsi="Times New Roman" w:cs="Times New Roman"/>
          <w:i w:val="1"/>
          <w:iCs w:val="1"/>
          <w:sz w:val="26"/>
          <w:szCs w:val="26"/>
        </w:rPr>
        <w:t>Hernandez-Parrilla v. De Anda-Ybarra</w:t>
      </w:r>
      <w:r w:rsidRPr="57283B4A" w:rsidR="004B7738">
        <w:rPr>
          <w:rFonts w:ascii="Times New Roman" w:hAnsi="Times New Roman" w:cs="Times New Roman"/>
          <w:sz w:val="26"/>
          <w:szCs w:val="26"/>
        </w:rPr>
        <w:t xml:space="preserve">, No. 2:25-cv-01224-MIS-KK, ECF No. 14 at 13 (D.N.M. Dec. 15, 2025); </w:t>
      </w:r>
      <w:r w:rsidRPr="57283B4A" w:rsidR="004B7738">
        <w:rPr>
          <w:rFonts w:ascii="Times New Roman" w:hAnsi="Times New Roman" w:cs="Times New Roman"/>
          <w:i w:val="1"/>
          <w:iCs w:val="1"/>
          <w:sz w:val="26"/>
          <w:szCs w:val="26"/>
        </w:rPr>
        <w:t>Castillo v. Andra-Ybarra</w:t>
      </w:r>
      <w:r w:rsidRPr="57283B4A" w:rsidR="004B7738">
        <w:rPr>
          <w:rFonts w:ascii="Times New Roman" w:hAnsi="Times New Roman" w:cs="Times New Roman"/>
          <w:sz w:val="26"/>
          <w:szCs w:val="26"/>
        </w:rPr>
        <w:t xml:space="preserve">, No. </w:t>
      </w:r>
      <w:r w:rsidRPr="57283B4A" w:rsidR="004B7738">
        <w:rPr>
          <w:rFonts w:ascii="Times New Roman" w:hAnsi="Times New Roman" w:cs="Times New Roman"/>
          <w:sz w:val="26"/>
          <w:szCs w:val="26"/>
        </w:rPr>
        <w:t xml:space="preserve">CV 25-1074 JB/JFR, 2025 WL 3251223, at *5 (D.N.M. Nov. 21, 2025); </w:t>
      </w:r>
      <w:r w:rsidRPr="57283B4A" w:rsidR="004B7738">
        <w:rPr>
          <w:rFonts w:ascii="Times New Roman" w:hAnsi="Times New Roman" w:cs="Times New Roman"/>
          <w:i w:val="1"/>
          <w:iCs w:val="1"/>
          <w:sz w:val="26"/>
          <w:szCs w:val="26"/>
        </w:rPr>
        <w:t>K.S. v. Castro</w:t>
      </w:r>
      <w:r w:rsidRPr="57283B4A" w:rsidR="004B7738">
        <w:rPr>
          <w:rFonts w:ascii="Times New Roman" w:hAnsi="Times New Roman" w:cs="Times New Roman"/>
          <w:sz w:val="26"/>
          <w:szCs w:val="26"/>
        </w:rPr>
        <w:t>, No. 2:25-cv-00756-WJ-JMR, ECF No. 15 at 2–3 (D.N.M. Oct. 22, 2025); </w:t>
      </w:r>
      <w:r w:rsidRPr="57283B4A" w:rsidR="004B7738">
        <w:rPr>
          <w:rFonts w:ascii="Times New Roman" w:hAnsi="Times New Roman" w:cs="Times New Roman"/>
          <w:i w:val="1"/>
          <w:iCs w:val="1"/>
          <w:sz w:val="26"/>
          <w:szCs w:val="26"/>
        </w:rPr>
        <w:t>Cortez-Gonzalez v. Noem</w:t>
      </w:r>
      <w:r w:rsidRPr="57283B4A" w:rsidR="004B7738">
        <w:rPr>
          <w:rFonts w:ascii="Times New Roman" w:hAnsi="Times New Roman" w:cs="Times New Roman"/>
          <w:sz w:val="26"/>
          <w:szCs w:val="26"/>
        </w:rPr>
        <w:t xml:space="preserve">, No. 2:25-cv-00985-MLG-KK, ECF No. 11 at 2 (D.N.M. Oct. 15, 2025); </w:t>
      </w:r>
      <w:r w:rsidRPr="57283B4A" w:rsidR="004B7738">
        <w:rPr>
          <w:rFonts w:ascii="Times New Roman" w:hAnsi="Times New Roman" w:cs="Times New Roman"/>
          <w:i w:val="1"/>
          <w:iCs w:val="1"/>
          <w:sz w:val="26"/>
          <w:szCs w:val="26"/>
        </w:rPr>
        <w:t>Gamez Lira v. Noem</w:t>
      </w:r>
      <w:r w:rsidRPr="57283B4A" w:rsidR="004B7738">
        <w:rPr>
          <w:rFonts w:ascii="Times New Roman" w:hAnsi="Times New Roman" w:cs="Times New Roman"/>
          <w:sz w:val="26"/>
          <w:szCs w:val="26"/>
        </w:rPr>
        <w:t>, No. 1:25-CV-00855-WJ-KK, 2025 WL 2581710 (D.N.M. Sept. 5, 2025)</w:t>
      </w:r>
      <w:r w:rsidRPr="57283B4A" w:rsidR="00FD7E25">
        <w:rPr>
          <w:rFonts w:ascii="Times New Roman" w:hAnsi="Times New Roman" w:cs="Times New Roman"/>
          <w:sz w:val="26"/>
          <w:szCs w:val="26"/>
        </w:rPr>
        <w:t>;</w:t>
      </w:r>
      <w:r w:rsidRPr="57283B4A" w:rsidR="00C63FDB">
        <w:rPr>
          <w:rFonts w:ascii="Times New Roman" w:hAnsi="Times New Roman" w:cs="Times New Roman"/>
          <w:sz w:val="26"/>
          <w:szCs w:val="26"/>
        </w:rPr>
        <w:t xml:space="preserve"> </w:t>
      </w:r>
      <w:r w:rsidRPr="57283B4A" w:rsidR="00C63FDB">
        <w:rPr>
          <w:rFonts w:ascii="Times New Roman" w:hAnsi="Times New Roman" w:cs="Times New Roman"/>
          <w:i w:val="1"/>
          <w:iCs w:val="1"/>
          <w:sz w:val="26"/>
          <w:szCs w:val="26"/>
        </w:rPr>
        <w:t xml:space="preserve">see also </w:t>
      </w:r>
      <w:r w:rsidRPr="57283B4A" w:rsidR="00C63FDB">
        <w:rPr>
          <w:rFonts w:ascii="Times New Roman" w:hAnsi="Times New Roman" w:cs="Times New Roman"/>
          <w:sz w:val="26"/>
          <w:szCs w:val="26"/>
        </w:rPr>
        <w:t>28 U.S.C. § 2243 (habeas courts authorized to order relief “as law and justice require”).</w:t>
      </w:r>
    </w:p>
    <w:p w:rsidRPr="00236DDB" w:rsidR="00C63FDB" w:rsidP="57283B4A" w:rsidRDefault="00C63FDB" w14:paraId="4AD9ABCF" w14:textId="12F76537">
      <w:pPr>
        <w:spacing w:after="0" w:line="480" w:lineRule="auto"/>
        <w:ind w:firstLine="720"/>
        <w:jc w:val="both"/>
        <w:rPr>
          <w:rFonts w:ascii="Times New Roman" w:hAnsi="Times New Roman" w:cs="Times New Roman"/>
          <w:sz w:val="26"/>
          <w:szCs w:val="26"/>
        </w:rPr>
      </w:pPr>
      <w:r w:rsidRPr="57283B4A" w:rsidR="00C63FDB">
        <w:rPr>
          <w:rFonts w:ascii="Times New Roman" w:hAnsi="Times New Roman" w:cs="Times New Roman"/>
          <w:sz w:val="26"/>
          <w:szCs w:val="26"/>
        </w:rPr>
        <w:t xml:space="preserve">Thus, under the </w:t>
      </w:r>
      <w:r w:rsidRPr="57283B4A" w:rsidR="00C63FDB">
        <w:rPr>
          <w:rFonts w:ascii="Times New Roman" w:hAnsi="Times New Roman" w:cs="Times New Roman"/>
          <w:sz w:val="26"/>
          <w:szCs w:val="26"/>
        </w:rPr>
        <w:t>All Writs</w:t>
      </w:r>
      <w:r w:rsidRPr="57283B4A" w:rsidR="00C63FDB">
        <w:rPr>
          <w:rFonts w:ascii="Times New Roman" w:hAnsi="Times New Roman" w:cs="Times New Roman"/>
          <w:sz w:val="26"/>
          <w:szCs w:val="26"/>
        </w:rPr>
        <w:t xml:space="preserve"> Act and the Court’s inherent power, this Court has authority to enjoin Petitioner’s transfer from this judicial district, thereby protecting the integrity of these judicial proceedings, Petitioner’s need to access counsel, and this Court’s ability to fully and </w:t>
      </w:r>
      <w:r w:rsidRPr="57283B4A" w:rsidR="001F705E">
        <w:rPr>
          <w:rFonts w:ascii="Times New Roman" w:hAnsi="Times New Roman" w:cs="Times New Roman"/>
          <w:sz w:val="26"/>
          <w:szCs w:val="26"/>
        </w:rPr>
        <w:t>fairly</w:t>
      </w:r>
      <w:r w:rsidRPr="57283B4A" w:rsidR="00C63FDB">
        <w:rPr>
          <w:rFonts w:ascii="Times New Roman" w:hAnsi="Times New Roman" w:cs="Times New Roman"/>
          <w:sz w:val="26"/>
          <w:szCs w:val="26"/>
        </w:rPr>
        <w:t xml:space="preserve"> adjudicate Petitioner’s pending habeas proceedings.</w:t>
      </w:r>
    </w:p>
    <w:p w:rsidR="00A44E00" w:rsidP="57283B4A" w:rsidRDefault="009A30A7" w14:paraId="53DE5B3B" w14:textId="29F08C71">
      <w:pPr>
        <w:pStyle w:val="ListParagraph"/>
        <w:numPr>
          <w:ilvl w:val="0"/>
          <w:numId w:val="4"/>
        </w:numPr>
        <w:spacing w:after="0" w:line="480" w:lineRule="auto"/>
        <w:contextualSpacing w:val="0"/>
        <w:rPr>
          <w:rFonts w:ascii="Times New Roman" w:hAnsi="Times New Roman" w:cs="Times New Roman"/>
          <w:b w:val="1"/>
          <w:bCs w:val="1"/>
          <w:sz w:val="26"/>
          <w:szCs w:val="26"/>
        </w:rPr>
      </w:pPr>
      <w:r w:rsidRPr="57283B4A" w:rsidR="009A30A7">
        <w:rPr>
          <w:rFonts w:ascii="Times New Roman" w:hAnsi="Times New Roman" w:cs="Times New Roman"/>
          <w:b w:val="1"/>
          <w:bCs w:val="1"/>
          <w:sz w:val="26"/>
          <w:szCs w:val="26"/>
        </w:rPr>
        <w:t>Argument</w:t>
      </w:r>
    </w:p>
    <w:p w:rsidR="006B6EF1" w:rsidP="57283B4A" w:rsidRDefault="00830ADB" w14:paraId="28882E3C" w14:textId="249BC4B0">
      <w:pPr>
        <w:pStyle w:val="ListParagraph"/>
        <w:numPr>
          <w:ilvl w:val="1"/>
          <w:numId w:val="4"/>
        </w:numPr>
        <w:spacing w:after="0" w:line="240" w:lineRule="auto"/>
        <w:contextualSpacing w:val="0"/>
        <w:rPr>
          <w:rFonts w:ascii="Times New Roman" w:hAnsi="Times New Roman" w:cs="Times New Roman"/>
          <w:b w:val="1"/>
          <w:bCs w:val="1"/>
          <w:sz w:val="26"/>
          <w:szCs w:val="26"/>
        </w:rPr>
      </w:pPr>
      <w:r w:rsidRPr="57283B4A" w:rsidR="00830ADB">
        <w:rPr>
          <w:rFonts w:ascii="Times New Roman" w:hAnsi="Times New Roman" w:cs="Times New Roman"/>
          <w:b w:val="1"/>
          <w:bCs w:val="1"/>
          <w:sz w:val="26"/>
          <w:szCs w:val="26"/>
        </w:rPr>
        <w:t>Petitioner faces the risk of being transferred by U.S. Immigration and Customs Enforcement to a detention facility outside this judicial district.</w:t>
      </w:r>
    </w:p>
    <w:p w:rsidRPr="00830ADB" w:rsidR="00830ADB" w:rsidP="57283B4A" w:rsidRDefault="00830ADB" w14:paraId="3FE7D642" w14:textId="77777777">
      <w:pPr>
        <w:spacing w:after="0" w:line="240" w:lineRule="auto"/>
        <w:rPr>
          <w:rFonts w:ascii="Times New Roman" w:hAnsi="Times New Roman" w:cs="Times New Roman"/>
          <w:b w:val="1"/>
          <w:bCs w:val="1"/>
          <w:sz w:val="26"/>
          <w:szCs w:val="26"/>
        </w:rPr>
      </w:pPr>
    </w:p>
    <w:p w:rsidRPr="008001A5" w:rsidR="008001A5" w:rsidP="57283B4A" w:rsidRDefault="006A0C0C" w14:paraId="03E5473F" w14:textId="462B21D8">
      <w:pPr>
        <w:spacing w:after="0" w:line="480" w:lineRule="auto"/>
        <w:ind w:firstLine="720"/>
        <w:jc w:val="both"/>
        <w:rPr>
          <w:rFonts w:ascii="Times New Roman" w:hAnsi="Times New Roman" w:cs="Times New Roman"/>
          <w:sz w:val="26"/>
          <w:szCs w:val="26"/>
        </w:rPr>
      </w:pPr>
      <w:r w:rsidRPr="57283B4A" w:rsidR="006A0C0C">
        <w:rPr>
          <w:rFonts w:ascii="Times New Roman" w:hAnsi="Times New Roman" w:cs="Times New Roman"/>
          <w:sz w:val="26"/>
          <w:szCs w:val="26"/>
        </w:rPr>
        <w:t>There is a well-substantiated risk that Petitioner will be transferred to a detention facility outside this judicial district</w:t>
      </w:r>
      <w:r w:rsidRPr="57283B4A" w:rsidR="0060787B">
        <w:rPr>
          <w:rFonts w:ascii="Times New Roman" w:hAnsi="Times New Roman" w:cs="Times New Roman"/>
          <w:sz w:val="26"/>
          <w:szCs w:val="26"/>
        </w:rPr>
        <w:t xml:space="preserve"> during the pendency of these habeas proceedings</w:t>
      </w:r>
      <w:r w:rsidRPr="57283B4A" w:rsidR="006A0C0C">
        <w:rPr>
          <w:rFonts w:ascii="Times New Roman" w:hAnsi="Times New Roman" w:cs="Times New Roman"/>
          <w:sz w:val="26"/>
          <w:szCs w:val="26"/>
        </w:rPr>
        <w:t>.</w:t>
      </w:r>
      <w:r w:rsidRPr="57283B4A" w:rsidR="008E0E93">
        <w:rPr>
          <w:rFonts w:ascii="Times New Roman" w:hAnsi="Times New Roman" w:cs="Times New Roman"/>
          <w:sz w:val="26"/>
          <w:szCs w:val="26"/>
        </w:rPr>
        <w:t xml:space="preserve"> The Government has broad discretion in determining a noncitizen’s location of detention.</w:t>
      </w:r>
      <w:r w:rsidRPr="57283B4A" w:rsidR="00B03C5D">
        <w:rPr>
          <w:rFonts w:ascii="Times New Roman" w:hAnsi="Times New Roman" w:cs="Times New Roman"/>
          <w:sz w:val="26"/>
          <w:szCs w:val="26"/>
        </w:rPr>
        <w:t xml:space="preserve"> </w:t>
      </w:r>
      <w:r w:rsidRPr="57283B4A" w:rsidR="008001A5">
        <w:rPr>
          <w:rFonts w:ascii="Times New Roman" w:hAnsi="Times New Roman" w:cs="Times New Roman"/>
          <w:i w:val="1"/>
          <w:iCs w:val="1"/>
          <w:sz w:val="26"/>
          <w:szCs w:val="26"/>
        </w:rPr>
        <w:t xml:space="preserve">See </w:t>
      </w:r>
      <w:r w:rsidRPr="57283B4A" w:rsidR="008001A5">
        <w:rPr>
          <w:rFonts w:ascii="Times New Roman" w:hAnsi="Times New Roman" w:cs="Times New Roman"/>
          <w:sz w:val="26"/>
          <w:szCs w:val="26"/>
        </w:rPr>
        <w:t xml:space="preserve">8 U.S.C. </w:t>
      </w:r>
      <w:r w:rsidRPr="57283B4A" w:rsidR="003C4979">
        <w:rPr>
          <w:rFonts w:ascii="Times New Roman" w:hAnsi="Times New Roman" w:cs="Times New Roman"/>
          <w:sz w:val="26"/>
          <w:szCs w:val="26"/>
        </w:rPr>
        <w:t>§ 1103(a)</w:t>
      </w:r>
      <w:r w:rsidRPr="57283B4A" w:rsidR="008001A5">
        <w:rPr>
          <w:rFonts w:ascii="Times New Roman" w:hAnsi="Times New Roman" w:cs="Times New Roman"/>
          <w:sz w:val="26"/>
          <w:szCs w:val="26"/>
        </w:rPr>
        <w:t>;</w:t>
      </w:r>
      <w:r w:rsidRPr="57283B4A" w:rsidR="008001A5">
        <w:rPr>
          <w:rFonts w:ascii="Times New Roman" w:hAnsi="Times New Roman" w:cs="Times New Roman"/>
          <w:i w:val="1"/>
          <w:iCs w:val="1"/>
          <w:sz w:val="26"/>
          <w:szCs w:val="26"/>
        </w:rPr>
        <w:t xml:space="preserve"> Matter of Rahman</w:t>
      </w:r>
      <w:r w:rsidRPr="57283B4A" w:rsidR="008001A5">
        <w:rPr>
          <w:rFonts w:ascii="Times New Roman" w:hAnsi="Times New Roman" w:cs="Times New Roman"/>
          <w:sz w:val="26"/>
          <w:szCs w:val="26"/>
        </w:rPr>
        <w:t xml:space="preserve">, 20 I&amp;N Dec. </w:t>
      </w:r>
      <w:r w:rsidRPr="57283B4A" w:rsidR="005F13A8">
        <w:rPr>
          <w:rFonts w:ascii="Times New Roman" w:hAnsi="Times New Roman" w:cs="Times New Roman"/>
          <w:sz w:val="26"/>
          <w:szCs w:val="26"/>
        </w:rPr>
        <w:t>480</w:t>
      </w:r>
      <w:r w:rsidRPr="57283B4A" w:rsidR="008001A5">
        <w:rPr>
          <w:rFonts w:ascii="Times New Roman" w:hAnsi="Times New Roman" w:cs="Times New Roman"/>
          <w:sz w:val="26"/>
          <w:szCs w:val="26"/>
        </w:rPr>
        <w:t>, 484 n.4 (</w:t>
      </w:r>
      <w:r w:rsidRPr="57283B4A" w:rsidR="005F13A8">
        <w:rPr>
          <w:rFonts w:ascii="Times New Roman" w:hAnsi="Times New Roman" w:cs="Times New Roman"/>
          <w:sz w:val="26"/>
          <w:szCs w:val="26"/>
        </w:rPr>
        <w:t>BIA May 12, 1992</w:t>
      </w:r>
      <w:r w:rsidRPr="57283B4A" w:rsidR="008001A5">
        <w:rPr>
          <w:rFonts w:ascii="Times New Roman" w:hAnsi="Times New Roman" w:cs="Times New Roman"/>
          <w:sz w:val="26"/>
          <w:szCs w:val="26"/>
        </w:rPr>
        <w:t>) (</w:t>
      </w:r>
      <w:r w:rsidRPr="57283B4A" w:rsidR="003C4979">
        <w:rPr>
          <w:rFonts w:ascii="Times New Roman" w:hAnsi="Times New Roman" w:cs="Times New Roman"/>
          <w:sz w:val="26"/>
          <w:szCs w:val="26"/>
        </w:rPr>
        <w:t>place of detention is “entrusted to the sound discretion of” DHS</w:t>
      </w:r>
      <w:r w:rsidRPr="57283B4A" w:rsidR="008001A5">
        <w:rPr>
          <w:rFonts w:ascii="Times New Roman" w:hAnsi="Times New Roman" w:cs="Times New Roman"/>
          <w:sz w:val="26"/>
          <w:szCs w:val="26"/>
        </w:rPr>
        <w:t xml:space="preserve">); </w:t>
      </w:r>
      <w:r w:rsidRPr="57283B4A" w:rsidR="008001A5">
        <w:rPr>
          <w:rFonts w:ascii="Times New Roman" w:hAnsi="Times New Roman" w:cs="Times New Roman"/>
          <w:i w:val="1"/>
          <w:iCs w:val="1"/>
          <w:sz w:val="26"/>
          <w:szCs w:val="26"/>
        </w:rPr>
        <w:t>Comm. of Cent. Am. Refugees v. I.N.S.</w:t>
      </w:r>
      <w:r w:rsidRPr="57283B4A" w:rsidR="008001A5">
        <w:rPr>
          <w:rFonts w:ascii="Times New Roman" w:hAnsi="Times New Roman" w:cs="Times New Roman"/>
          <w:sz w:val="26"/>
          <w:szCs w:val="26"/>
        </w:rPr>
        <w:t xml:space="preserve">, 795 F.2d 1434, 1440 (9th Cir. 1985), </w:t>
      </w:r>
      <w:r w:rsidRPr="57283B4A" w:rsidR="008001A5">
        <w:rPr>
          <w:rFonts w:ascii="Times New Roman" w:hAnsi="Times New Roman" w:cs="Times New Roman"/>
          <w:i w:val="1"/>
          <w:iCs w:val="1"/>
          <w:sz w:val="26"/>
          <w:szCs w:val="26"/>
        </w:rPr>
        <w:t>amended</w:t>
      </w:r>
      <w:r w:rsidRPr="57283B4A" w:rsidR="008001A5">
        <w:rPr>
          <w:rFonts w:ascii="Times New Roman" w:hAnsi="Times New Roman" w:cs="Times New Roman"/>
          <w:sz w:val="26"/>
          <w:szCs w:val="26"/>
        </w:rPr>
        <w:t>, 807 F.2d 769 (9th Cir. 1986) (</w:t>
      </w:r>
      <w:r w:rsidRPr="57283B4A" w:rsidR="002F3090">
        <w:rPr>
          <w:rFonts w:ascii="Times New Roman" w:hAnsi="Times New Roman" w:cs="Times New Roman"/>
          <w:sz w:val="26"/>
          <w:szCs w:val="26"/>
        </w:rPr>
        <w:t>agency has “broad discretion in exercising [its] authority to choose the place of detention”</w:t>
      </w:r>
      <w:r w:rsidRPr="57283B4A" w:rsidR="008001A5">
        <w:rPr>
          <w:rFonts w:ascii="Times New Roman" w:hAnsi="Times New Roman" w:cs="Times New Roman"/>
          <w:sz w:val="26"/>
          <w:szCs w:val="26"/>
        </w:rPr>
        <w:t>).</w:t>
      </w:r>
    </w:p>
    <w:p w:rsidRPr="001270E2" w:rsidR="00756A4D" w:rsidP="57283B4A" w:rsidRDefault="00B03C5D" w14:paraId="56A63FCB" w14:textId="5351CAFE">
      <w:pPr>
        <w:spacing w:after="0" w:line="480" w:lineRule="auto"/>
        <w:ind w:firstLine="720"/>
        <w:jc w:val="both"/>
        <w:rPr>
          <w:rFonts w:ascii="Times New Roman" w:hAnsi="Times New Roman" w:cs="Times New Roman"/>
          <w:sz w:val="26"/>
          <w:szCs w:val="26"/>
        </w:rPr>
      </w:pPr>
      <w:r w:rsidRPr="57283B4A" w:rsidR="00B03C5D">
        <w:rPr>
          <w:rFonts w:ascii="Times New Roman" w:hAnsi="Times New Roman" w:cs="Times New Roman"/>
          <w:sz w:val="26"/>
          <w:szCs w:val="26"/>
        </w:rPr>
        <w:t xml:space="preserve">U.S. Immigration and Customs Enforcement (ICE) has published a directive </w:t>
      </w:r>
      <w:r w:rsidRPr="57283B4A" w:rsidR="00756A4D">
        <w:rPr>
          <w:rFonts w:ascii="Times New Roman" w:hAnsi="Times New Roman" w:cs="Times New Roman"/>
          <w:sz w:val="26"/>
          <w:szCs w:val="26"/>
        </w:rPr>
        <w:t>establishing agency policies regarding the transfer of individuals detained in ICE custody</w:t>
      </w:r>
      <w:r w:rsidRPr="57283B4A" w:rsidR="00B03C5D">
        <w:rPr>
          <w:rFonts w:ascii="Times New Roman" w:hAnsi="Times New Roman" w:cs="Times New Roman"/>
          <w:sz w:val="26"/>
          <w:szCs w:val="26"/>
        </w:rPr>
        <w:t>.</w:t>
      </w:r>
      <w:r w:rsidRPr="57283B4A">
        <w:rPr>
          <w:rStyle w:val="FootnoteReference"/>
          <w:rFonts w:ascii="Times New Roman" w:hAnsi="Times New Roman" w:cs="Times New Roman"/>
          <w:sz w:val="26"/>
          <w:szCs w:val="26"/>
        </w:rPr>
        <w:footnoteReference w:id="1"/>
      </w:r>
      <w:r w:rsidRPr="57283B4A" w:rsidR="00E35DF6">
        <w:rPr>
          <w:rFonts w:ascii="Times New Roman" w:hAnsi="Times New Roman" w:cs="Times New Roman"/>
          <w:sz w:val="26"/>
          <w:szCs w:val="26"/>
        </w:rPr>
        <w:t xml:space="preserve"> </w:t>
      </w:r>
      <w:r w:rsidRPr="57283B4A" w:rsidR="00533DBC">
        <w:rPr>
          <w:rFonts w:ascii="Times New Roman" w:hAnsi="Times New Roman" w:cs="Times New Roman"/>
          <w:sz w:val="26"/>
          <w:szCs w:val="26"/>
        </w:rPr>
        <w:t xml:space="preserve">The directive </w:t>
      </w:r>
      <w:r w:rsidRPr="57283B4A" w:rsidR="00521E44">
        <w:rPr>
          <w:rFonts w:ascii="Times New Roman" w:hAnsi="Times New Roman" w:cs="Times New Roman"/>
          <w:sz w:val="26"/>
          <w:szCs w:val="26"/>
        </w:rPr>
        <w:t xml:space="preserve">establishes that </w:t>
      </w:r>
      <w:r w:rsidRPr="57283B4A" w:rsidR="00B3220D">
        <w:rPr>
          <w:rFonts w:ascii="Times New Roman" w:hAnsi="Times New Roman" w:cs="Times New Roman"/>
          <w:sz w:val="26"/>
          <w:szCs w:val="26"/>
        </w:rPr>
        <w:t>detainee transfers are conducted at the discretion of ICE employees</w:t>
      </w:r>
      <w:r w:rsidRPr="57283B4A" w:rsidR="00521E44">
        <w:rPr>
          <w:rFonts w:ascii="Times New Roman" w:hAnsi="Times New Roman" w:cs="Times New Roman"/>
          <w:sz w:val="26"/>
          <w:szCs w:val="26"/>
        </w:rPr>
        <w:t xml:space="preserve">. </w:t>
      </w:r>
      <w:r w:rsidRPr="57283B4A" w:rsidR="00521E44">
        <w:rPr>
          <w:rFonts w:ascii="Times New Roman" w:hAnsi="Times New Roman" w:cs="Times New Roman"/>
          <w:i w:val="1"/>
          <w:iCs w:val="1"/>
          <w:sz w:val="26"/>
          <w:szCs w:val="26"/>
        </w:rPr>
        <w:t>Id.</w:t>
      </w:r>
      <w:r w:rsidRPr="57283B4A" w:rsidR="00521E44">
        <w:rPr>
          <w:rFonts w:ascii="Times New Roman" w:hAnsi="Times New Roman" w:cs="Times New Roman"/>
          <w:sz w:val="26"/>
          <w:szCs w:val="26"/>
        </w:rPr>
        <w:t xml:space="preserve"> at </w:t>
      </w:r>
      <w:r w:rsidRPr="57283B4A" w:rsidR="00B3220D">
        <w:rPr>
          <w:rFonts w:ascii="Times New Roman" w:hAnsi="Times New Roman" w:cs="Times New Roman"/>
          <w:sz w:val="26"/>
          <w:szCs w:val="26"/>
        </w:rPr>
        <w:t>Sec. 1, Sec. 4.</w:t>
      </w:r>
      <w:r w:rsidRPr="57283B4A" w:rsidR="00521E44">
        <w:rPr>
          <w:rFonts w:ascii="Times New Roman" w:hAnsi="Times New Roman" w:cs="Times New Roman"/>
          <w:sz w:val="26"/>
          <w:szCs w:val="26"/>
        </w:rPr>
        <w:t xml:space="preserve"> It </w:t>
      </w:r>
      <w:r w:rsidRPr="57283B4A" w:rsidR="00533DBC">
        <w:rPr>
          <w:rFonts w:ascii="Times New Roman" w:hAnsi="Times New Roman" w:cs="Times New Roman"/>
          <w:sz w:val="26"/>
          <w:szCs w:val="26"/>
        </w:rPr>
        <w:t xml:space="preserve">states that </w:t>
      </w:r>
      <w:r w:rsidRPr="57283B4A" w:rsidR="002D3E87">
        <w:rPr>
          <w:rFonts w:ascii="Times New Roman" w:hAnsi="Times New Roman" w:cs="Times New Roman"/>
          <w:sz w:val="26"/>
          <w:szCs w:val="26"/>
        </w:rPr>
        <w:t>ICE will only notify a detainee of their transfer “[</w:t>
      </w:r>
      <w:r w:rsidRPr="57283B4A" w:rsidR="002D3E87">
        <w:rPr>
          <w:rFonts w:ascii="Times New Roman" w:hAnsi="Times New Roman" w:cs="Times New Roman"/>
          <w:sz w:val="26"/>
          <w:szCs w:val="26"/>
        </w:rPr>
        <w:t>i</w:t>
      </w:r>
      <w:r w:rsidRPr="57283B4A" w:rsidR="002D3E87">
        <w:rPr>
          <w:rFonts w:ascii="Times New Roman" w:hAnsi="Times New Roman" w:cs="Times New Roman"/>
          <w:sz w:val="26"/>
          <w:szCs w:val="26"/>
        </w:rPr>
        <w:t>]</w:t>
      </w:r>
      <w:r w:rsidRPr="57283B4A" w:rsidR="002D3E87">
        <w:rPr>
          <w:rFonts w:ascii="Times New Roman" w:hAnsi="Times New Roman" w:cs="Times New Roman"/>
          <w:sz w:val="26"/>
          <w:szCs w:val="26"/>
        </w:rPr>
        <w:t>mmediately</w:t>
      </w:r>
      <w:r w:rsidRPr="57283B4A" w:rsidR="002D3E87">
        <w:rPr>
          <w:rFonts w:ascii="Times New Roman" w:hAnsi="Times New Roman" w:cs="Times New Roman"/>
          <w:sz w:val="26"/>
          <w:szCs w:val="26"/>
        </w:rPr>
        <w:t xml:space="preserve"> prior to transfer</w:t>
      </w:r>
      <w:r w:rsidRPr="57283B4A" w:rsidR="002B53D0">
        <w:rPr>
          <w:rFonts w:ascii="Times New Roman" w:hAnsi="Times New Roman" w:cs="Times New Roman"/>
          <w:sz w:val="26"/>
          <w:szCs w:val="26"/>
        </w:rPr>
        <w:t>,</w:t>
      </w:r>
      <w:r w:rsidRPr="57283B4A" w:rsidR="002D3E87">
        <w:rPr>
          <w:rFonts w:ascii="Times New Roman" w:hAnsi="Times New Roman" w:cs="Times New Roman"/>
          <w:sz w:val="26"/>
          <w:szCs w:val="26"/>
        </w:rPr>
        <w:t xml:space="preserve">” </w:t>
      </w:r>
      <w:r w:rsidRPr="57283B4A" w:rsidR="002B53D0">
        <w:rPr>
          <w:rFonts w:ascii="Times New Roman" w:hAnsi="Times New Roman" w:cs="Times New Roman"/>
          <w:i w:val="1"/>
          <w:iCs w:val="1"/>
          <w:sz w:val="26"/>
          <w:szCs w:val="26"/>
        </w:rPr>
        <w:t>i</w:t>
      </w:r>
      <w:r w:rsidRPr="57283B4A" w:rsidR="002D3E87">
        <w:rPr>
          <w:rFonts w:ascii="Times New Roman" w:hAnsi="Times New Roman" w:cs="Times New Roman"/>
          <w:i w:val="1"/>
          <w:iCs w:val="1"/>
          <w:sz w:val="26"/>
          <w:szCs w:val="26"/>
        </w:rPr>
        <w:t>d.</w:t>
      </w:r>
      <w:r w:rsidRPr="57283B4A" w:rsidR="002D3E87">
        <w:rPr>
          <w:rFonts w:ascii="Times New Roman" w:hAnsi="Times New Roman" w:cs="Times New Roman"/>
          <w:sz w:val="26"/>
          <w:szCs w:val="26"/>
        </w:rPr>
        <w:t xml:space="preserve"> at Sec. 5.3(3)</w:t>
      </w:r>
      <w:r w:rsidRPr="57283B4A" w:rsidR="002B53D0">
        <w:rPr>
          <w:rFonts w:ascii="Times New Roman" w:hAnsi="Times New Roman" w:cs="Times New Roman"/>
          <w:sz w:val="26"/>
          <w:szCs w:val="26"/>
        </w:rPr>
        <w:t xml:space="preserve">, and that the detainee “[is] not permitted to make or receive any telephone calls until the detainee reaches the destination facility,” </w:t>
      </w:r>
      <w:r w:rsidRPr="57283B4A" w:rsidR="002B53D0">
        <w:rPr>
          <w:rFonts w:ascii="Times New Roman" w:hAnsi="Times New Roman" w:cs="Times New Roman"/>
          <w:i w:val="1"/>
          <w:iCs w:val="1"/>
          <w:sz w:val="26"/>
          <w:szCs w:val="26"/>
        </w:rPr>
        <w:t>id.</w:t>
      </w:r>
      <w:r w:rsidRPr="57283B4A" w:rsidR="002B53D0">
        <w:rPr>
          <w:rFonts w:ascii="Times New Roman" w:hAnsi="Times New Roman" w:cs="Times New Roman"/>
          <w:sz w:val="26"/>
          <w:szCs w:val="26"/>
        </w:rPr>
        <w:t xml:space="preserve"> at Sec. 5.3(3)(a)(</w:t>
      </w:r>
      <w:r w:rsidRPr="57283B4A" w:rsidR="002B53D0">
        <w:rPr>
          <w:rFonts w:ascii="Times New Roman" w:hAnsi="Times New Roman" w:cs="Times New Roman"/>
          <w:sz w:val="26"/>
          <w:szCs w:val="26"/>
        </w:rPr>
        <w:t>i</w:t>
      </w:r>
      <w:r w:rsidRPr="57283B4A" w:rsidR="002B53D0">
        <w:rPr>
          <w:rFonts w:ascii="Times New Roman" w:hAnsi="Times New Roman" w:cs="Times New Roman"/>
          <w:sz w:val="26"/>
          <w:szCs w:val="26"/>
        </w:rPr>
        <w:t>)</w:t>
      </w:r>
      <w:r w:rsidRPr="57283B4A" w:rsidR="002D3E87">
        <w:rPr>
          <w:rFonts w:ascii="Times New Roman" w:hAnsi="Times New Roman" w:cs="Times New Roman"/>
          <w:sz w:val="26"/>
          <w:szCs w:val="26"/>
        </w:rPr>
        <w:t>.</w:t>
      </w:r>
      <w:r w:rsidRPr="57283B4A" w:rsidR="00134DAE">
        <w:rPr>
          <w:rFonts w:ascii="Times New Roman" w:hAnsi="Times New Roman" w:cs="Times New Roman"/>
          <w:sz w:val="26"/>
          <w:szCs w:val="26"/>
        </w:rPr>
        <w:t xml:space="preserve"> </w:t>
      </w:r>
      <w:r w:rsidRPr="57283B4A" w:rsidR="007C2A0B">
        <w:rPr>
          <w:rFonts w:ascii="Times New Roman" w:hAnsi="Times New Roman" w:cs="Times New Roman"/>
          <w:sz w:val="26"/>
          <w:szCs w:val="26"/>
        </w:rPr>
        <w:t xml:space="preserve">Counsel representing a petitioner in habeas proceedings </w:t>
      </w:r>
      <w:r w:rsidRPr="57283B4A" w:rsidR="004D75BE">
        <w:rPr>
          <w:rFonts w:ascii="Times New Roman" w:hAnsi="Times New Roman" w:cs="Times New Roman"/>
          <w:sz w:val="26"/>
          <w:szCs w:val="26"/>
        </w:rPr>
        <w:t>will</w:t>
      </w:r>
      <w:r w:rsidRPr="57283B4A" w:rsidR="007C2A0B">
        <w:rPr>
          <w:rFonts w:ascii="Times New Roman" w:hAnsi="Times New Roman" w:cs="Times New Roman"/>
          <w:sz w:val="26"/>
          <w:szCs w:val="26"/>
        </w:rPr>
        <w:t xml:space="preserve"> not </w:t>
      </w:r>
      <w:r w:rsidRPr="57283B4A" w:rsidR="004D75BE">
        <w:rPr>
          <w:rFonts w:ascii="Times New Roman" w:hAnsi="Times New Roman" w:cs="Times New Roman"/>
          <w:sz w:val="26"/>
          <w:szCs w:val="26"/>
        </w:rPr>
        <w:t xml:space="preserve">necessarily </w:t>
      </w:r>
      <w:r w:rsidRPr="57283B4A" w:rsidR="007C2A0B">
        <w:rPr>
          <w:rFonts w:ascii="Times New Roman" w:hAnsi="Times New Roman" w:cs="Times New Roman"/>
          <w:sz w:val="26"/>
          <w:szCs w:val="26"/>
        </w:rPr>
        <w:t>be notified of a detainee’s transfer</w:t>
      </w:r>
      <w:r w:rsidRPr="57283B4A" w:rsidR="00A31B79">
        <w:rPr>
          <w:rFonts w:ascii="Times New Roman" w:hAnsi="Times New Roman" w:cs="Times New Roman"/>
          <w:sz w:val="26"/>
          <w:szCs w:val="26"/>
        </w:rPr>
        <w:t xml:space="preserve">. </w:t>
      </w:r>
      <w:r w:rsidRPr="57283B4A" w:rsidR="00A31B79">
        <w:rPr>
          <w:rFonts w:ascii="Times New Roman" w:hAnsi="Times New Roman" w:cs="Times New Roman"/>
          <w:i w:val="1"/>
          <w:iCs w:val="1"/>
          <w:sz w:val="26"/>
          <w:szCs w:val="26"/>
        </w:rPr>
        <w:t>See id.</w:t>
      </w:r>
      <w:r w:rsidRPr="57283B4A" w:rsidR="00A31B79">
        <w:rPr>
          <w:rFonts w:ascii="Times New Roman" w:hAnsi="Times New Roman" w:cs="Times New Roman"/>
          <w:sz w:val="26"/>
          <w:szCs w:val="26"/>
        </w:rPr>
        <w:t xml:space="preserve"> at Sec. 5.3(1)–(2) (stating that ICE will only notify an attorney who has a Form G-28 on file with ICE and that ICE is not required to notify other third parties).</w:t>
      </w:r>
      <w:r w:rsidRPr="57283B4A" w:rsidR="00484D90">
        <w:rPr>
          <w:rStyle w:val="FootnoteReference"/>
          <w:rFonts w:ascii="Times New Roman" w:hAnsi="Times New Roman" w:cs="Times New Roman"/>
          <w:sz w:val="26"/>
          <w:szCs w:val="26"/>
        </w:rPr>
        <w:footnoteReference w:id="2"/>
      </w:r>
      <w:r w:rsidRPr="57283B4A" w:rsidR="002D3E87">
        <w:rPr>
          <w:rFonts w:ascii="Times New Roman" w:hAnsi="Times New Roman" w:cs="Times New Roman"/>
          <w:sz w:val="26"/>
          <w:szCs w:val="26"/>
        </w:rPr>
        <w:t xml:space="preserve"> Even where an attorney has </w:t>
      </w:r>
      <w:r w:rsidRPr="57283B4A" w:rsidR="001270E2">
        <w:rPr>
          <w:rFonts w:ascii="Times New Roman" w:hAnsi="Times New Roman" w:cs="Times New Roman"/>
          <w:sz w:val="26"/>
          <w:szCs w:val="26"/>
        </w:rPr>
        <w:t xml:space="preserve">submitted a completed Form G-28 to ICE, </w:t>
      </w:r>
      <w:r w:rsidRPr="57283B4A" w:rsidR="00E95CCB">
        <w:rPr>
          <w:rFonts w:ascii="Times New Roman" w:hAnsi="Times New Roman" w:cs="Times New Roman"/>
          <w:sz w:val="26"/>
          <w:szCs w:val="26"/>
        </w:rPr>
        <w:t>the directive specifies that the attorney is only to be notified “as soon as practicable on the day of the transfer, but in no circumstances later than twenty four (24) hours after the transfer occurs.”</w:t>
      </w:r>
      <w:r w:rsidRPr="57283B4A" w:rsidR="001270E2">
        <w:rPr>
          <w:rFonts w:ascii="Times New Roman" w:hAnsi="Times New Roman" w:cs="Times New Roman"/>
          <w:sz w:val="26"/>
          <w:szCs w:val="26"/>
        </w:rPr>
        <w:t xml:space="preserve"> </w:t>
      </w:r>
      <w:r w:rsidRPr="57283B4A" w:rsidR="001270E2">
        <w:rPr>
          <w:rFonts w:ascii="Times New Roman" w:hAnsi="Times New Roman" w:cs="Times New Roman"/>
          <w:i w:val="1"/>
          <w:iCs w:val="1"/>
          <w:sz w:val="26"/>
          <w:szCs w:val="26"/>
        </w:rPr>
        <w:t>Id.</w:t>
      </w:r>
      <w:r w:rsidRPr="57283B4A" w:rsidR="001270E2">
        <w:rPr>
          <w:rFonts w:ascii="Times New Roman" w:hAnsi="Times New Roman" w:cs="Times New Roman"/>
          <w:sz w:val="26"/>
          <w:szCs w:val="26"/>
        </w:rPr>
        <w:t xml:space="preserve"> at Sec. </w:t>
      </w:r>
      <w:r w:rsidRPr="57283B4A" w:rsidR="00E95CCB">
        <w:rPr>
          <w:rFonts w:ascii="Times New Roman" w:hAnsi="Times New Roman" w:cs="Times New Roman"/>
          <w:sz w:val="26"/>
          <w:szCs w:val="26"/>
        </w:rPr>
        <w:t>5.3(2)(a)</w:t>
      </w:r>
      <w:r w:rsidRPr="57283B4A" w:rsidR="001270E2">
        <w:rPr>
          <w:rFonts w:ascii="Times New Roman" w:hAnsi="Times New Roman" w:cs="Times New Roman"/>
          <w:sz w:val="26"/>
          <w:szCs w:val="26"/>
        </w:rPr>
        <w:t>.</w:t>
      </w:r>
      <w:r w:rsidRPr="57283B4A" w:rsidR="00537A3D">
        <w:rPr>
          <w:rFonts w:ascii="Times New Roman" w:hAnsi="Times New Roman" w:cs="Times New Roman"/>
          <w:sz w:val="26"/>
          <w:szCs w:val="26"/>
        </w:rPr>
        <w:t xml:space="preserve"> Th</w:t>
      </w:r>
      <w:r w:rsidRPr="57283B4A" w:rsidR="00E9636A">
        <w:rPr>
          <w:rFonts w:ascii="Times New Roman" w:hAnsi="Times New Roman" w:cs="Times New Roman"/>
          <w:sz w:val="26"/>
          <w:szCs w:val="26"/>
        </w:rPr>
        <w:t>us, th</w:t>
      </w:r>
      <w:r w:rsidRPr="57283B4A" w:rsidR="00537A3D">
        <w:rPr>
          <w:rFonts w:ascii="Times New Roman" w:hAnsi="Times New Roman" w:cs="Times New Roman"/>
          <w:sz w:val="26"/>
          <w:szCs w:val="26"/>
        </w:rPr>
        <w:t xml:space="preserve">e policies set </w:t>
      </w:r>
      <w:r w:rsidRPr="57283B4A" w:rsidR="00537A3D">
        <w:rPr>
          <w:rFonts w:ascii="Times New Roman" w:hAnsi="Times New Roman" w:cs="Times New Roman"/>
          <w:sz w:val="26"/>
          <w:szCs w:val="26"/>
        </w:rPr>
        <w:t>forth in the ICE directive would not allow sufficient time for Petitioner’s counsel to seek Court intervention prior to</w:t>
      </w:r>
      <w:r w:rsidRPr="57283B4A" w:rsidR="00E9636A">
        <w:rPr>
          <w:rFonts w:ascii="Times New Roman" w:hAnsi="Times New Roman" w:cs="Times New Roman"/>
          <w:sz w:val="26"/>
          <w:szCs w:val="26"/>
        </w:rPr>
        <w:t xml:space="preserve"> an imminent</w:t>
      </w:r>
      <w:r w:rsidRPr="57283B4A" w:rsidR="00537A3D">
        <w:rPr>
          <w:rFonts w:ascii="Times New Roman" w:hAnsi="Times New Roman" w:cs="Times New Roman"/>
          <w:sz w:val="26"/>
          <w:szCs w:val="26"/>
        </w:rPr>
        <w:t xml:space="preserve"> transfer</w:t>
      </w:r>
      <w:r w:rsidRPr="57283B4A" w:rsidR="00E9636A">
        <w:rPr>
          <w:rFonts w:ascii="Times New Roman" w:hAnsi="Times New Roman" w:cs="Times New Roman"/>
          <w:sz w:val="26"/>
          <w:szCs w:val="26"/>
        </w:rPr>
        <w:t xml:space="preserve"> of Petitioner out of this District</w:t>
      </w:r>
      <w:r w:rsidRPr="57283B4A" w:rsidR="00537A3D">
        <w:rPr>
          <w:rFonts w:ascii="Times New Roman" w:hAnsi="Times New Roman" w:cs="Times New Roman"/>
          <w:sz w:val="26"/>
          <w:szCs w:val="26"/>
        </w:rPr>
        <w:t>.</w:t>
      </w:r>
    </w:p>
    <w:p w:rsidR="00E35DF6" w:rsidP="57283B4A" w:rsidRDefault="00E35DF6" w14:paraId="10ED44C2" w14:textId="2BA1E191">
      <w:pPr>
        <w:spacing w:after="0" w:line="480" w:lineRule="auto"/>
        <w:ind w:firstLine="720"/>
        <w:jc w:val="both"/>
        <w:rPr>
          <w:rFonts w:ascii="Times New Roman" w:hAnsi="Times New Roman" w:cs="Times New Roman"/>
          <w:sz w:val="26"/>
          <w:szCs w:val="26"/>
        </w:rPr>
      </w:pPr>
      <w:r w:rsidRPr="57283B4A" w:rsidR="00E35DF6">
        <w:rPr>
          <w:rFonts w:ascii="Times New Roman" w:hAnsi="Times New Roman" w:cs="Times New Roman"/>
          <w:sz w:val="26"/>
          <w:szCs w:val="26"/>
        </w:rPr>
        <w:t>Any transfer</w:t>
      </w:r>
      <w:r w:rsidRPr="57283B4A" w:rsidR="001D5D9A">
        <w:rPr>
          <w:rFonts w:ascii="Times New Roman" w:hAnsi="Times New Roman" w:cs="Times New Roman"/>
          <w:sz w:val="26"/>
          <w:szCs w:val="26"/>
        </w:rPr>
        <w:t xml:space="preserve"> of Petitioner out of this District</w:t>
      </w:r>
      <w:r w:rsidRPr="57283B4A" w:rsidR="00E35DF6">
        <w:rPr>
          <w:rFonts w:ascii="Times New Roman" w:hAnsi="Times New Roman" w:cs="Times New Roman"/>
          <w:sz w:val="26"/>
          <w:szCs w:val="26"/>
        </w:rPr>
        <w:t xml:space="preserve"> </w:t>
      </w:r>
      <w:r w:rsidRPr="57283B4A" w:rsidR="00345589">
        <w:rPr>
          <w:rFonts w:ascii="Times New Roman" w:hAnsi="Times New Roman" w:cs="Times New Roman"/>
          <w:sz w:val="26"/>
          <w:szCs w:val="26"/>
        </w:rPr>
        <w:t xml:space="preserve">during the pendency of these habeas proceedings </w:t>
      </w:r>
      <w:r w:rsidRPr="57283B4A" w:rsidR="00E35DF6">
        <w:rPr>
          <w:rFonts w:ascii="Times New Roman" w:hAnsi="Times New Roman" w:cs="Times New Roman"/>
          <w:sz w:val="26"/>
          <w:szCs w:val="26"/>
        </w:rPr>
        <w:t>would demonstrably compromise Petitioner’s access to counsel</w:t>
      </w:r>
      <w:r w:rsidRPr="57283B4A" w:rsidR="00301D6A">
        <w:rPr>
          <w:rFonts w:ascii="Times New Roman" w:hAnsi="Times New Roman" w:cs="Times New Roman"/>
          <w:sz w:val="26"/>
          <w:szCs w:val="26"/>
        </w:rPr>
        <w:t>.</w:t>
      </w:r>
      <w:r w:rsidRPr="57283B4A" w:rsidR="003F0F57">
        <w:rPr>
          <w:rStyle w:val="FootnoteReference"/>
          <w:rFonts w:ascii="Times New Roman" w:hAnsi="Times New Roman" w:cs="Times New Roman"/>
          <w:sz w:val="26"/>
          <w:szCs w:val="26"/>
        </w:rPr>
        <w:footnoteReference w:id="3"/>
      </w:r>
      <w:r w:rsidRPr="57283B4A" w:rsidR="003D5FB4">
        <w:rPr>
          <w:rFonts w:ascii="Times New Roman" w:hAnsi="Times New Roman" w:cs="Times New Roman"/>
          <w:sz w:val="26"/>
          <w:szCs w:val="26"/>
        </w:rPr>
        <w:t xml:space="preserve"> </w:t>
      </w:r>
      <w:r w:rsidRPr="57283B4A" w:rsidR="003D5FB4">
        <w:rPr>
          <w:rFonts w:ascii="Times New Roman" w:hAnsi="Times New Roman" w:cs="Times New Roman"/>
          <w:i w:val="1"/>
          <w:iCs w:val="1"/>
          <w:sz w:val="26"/>
          <w:szCs w:val="26"/>
        </w:rPr>
        <w:t>See</w:t>
      </w:r>
      <w:r w:rsidRPr="57283B4A" w:rsidR="00676053">
        <w:rPr>
          <w:rFonts w:ascii="Times New Roman" w:hAnsi="Times New Roman" w:cs="Times New Roman"/>
          <w:i w:val="1"/>
          <w:iCs w:val="1"/>
          <w:sz w:val="26"/>
          <w:szCs w:val="26"/>
        </w:rPr>
        <w:t xml:space="preserve"> Arroyo v. U.S. </w:t>
      </w:r>
      <w:r w:rsidRPr="57283B4A" w:rsidR="00676053">
        <w:rPr>
          <w:rFonts w:ascii="Times New Roman" w:hAnsi="Times New Roman" w:cs="Times New Roman"/>
          <w:i w:val="1"/>
          <w:iCs w:val="1"/>
          <w:sz w:val="26"/>
          <w:szCs w:val="26"/>
        </w:rPr>
        <w:t>Dep’t</w:t>
      </w:r>
      <w:r w:rsidRPr="57283B4A" w:rsidR="00676053">
        <w:rPr>
          <w:rFonts w:ascii="Times New Roman" w:hAnsi="Times New Roman" w:cs="Times New Roman"/>
          <w:i w:val="1"/>
          <w:iCs w:val="1"/>
          <w:sz w:val="26"/>
          <w:szCs w:val="26"/>
        </w:rPr>
        <w:t xml:space="preserve"> of Homeland Sec.</w:t>
      </w:r>
      <w:r w:rsidRPr="57283B4A" w:rsidR="00676053">
        <w:rPr>
          <w:rFonts w:ascii="Times New Roman" w:hAnsi="Times New Roman" w:cs="Times New Roman"/>
          <w:sz w:val="26"/>
          <w:szCs w:val="26"/>
        </w:rPr>
        <w:t xml:space="preserve">, No. </w:t>
      </w:r>
      <w:r w:rsidRPr="57283B4A" w:rsidR="00D66EB8">
        <w:rPr>
          <w:rFonts w:ascii="Times New Roman" w:hAnsi="Times New Roman" w:cs="Times New Roman"/>
          <w:sz w:val="26"/>
          <w:szCs w:val="26"/>
        </w:rPr>
        <w:t>SACV 19-815 JGB (</w:t>
      </w:r>
      <w:r w:rsidRPr="57283B4A" w:rsidR="00D66EB8">
        <w:rPr>
          <w:rFonts w:ascii="Times New Roman" w:hAnsi="Times New Roman" w:cs="Times New Roman"/>
          <w:sz w:val="26"/>
          <w:szCs w:val="26"/>
        </w:rPr>
        <w:t>SHKx</w:t>
      </w:r>
      <w:r w:rsidRPr="57283B4A" w:rsidR="00D66EB8">
        <w:rPr>
          <w:rFonts w:ascii="Times New Roman" w:hAnsi="Times New Roman" w:cs="Times New Roman"/>
          <w:sz w:val="26"/>
          <w:szCs w:val="26"/>
        </w:rPr>
        <w:t>)</w:t>
      </w:r>
      <w:r w:rsidRPr="57283B4A" w:rsidR="00676053">
        <w:rPr>
          <w:rFonts w:ascii="Times New Roman" w:hAnsi="Times New Roman" w:cs="Times New Roman"/>
          <w:sz w:val="26"/>
          <w:szCs w:val="26"/>
        </w:rPr>
        <w:t xml:space="preserve">, </w:t>
      </w:r>
      <w:r w:rsidRPr="57283B4A" w:rsidR="00676053">
        <w:rPr>
          <w:rFonts w:ascii="Times New Roman" w:hAnsi="Times New Roman" w:cs="Times New Roman"/>
          <w:sz w:val="26"/>
          <w:szCs w:val="26"/>
        </w:rPr>
        <w:t>2019 WL 2912848</w:t>
      </w:r>
      <w:r w:rsidRPr="57283B4A" w:rsidR="00676053">
        <w:rPr>
          <w:rFonts w:ascii="Times New Roman" w:hAnsi="Times New Roman" w:cs="Times New Roman"/>
          <w:sz w:val="26"/>
          <w:szCs w:val="26"/>
        </w:rPr>
        <w:t>, at *</w:t>
      </w:r>
      <w:r w:rsidRPr="57283B4A" w:rsidR="0053477C">
        <w:rPr>
          <w:rFonts w:ascii="Times New Roman" w:hAnsi="Times New Roman" w:cs="Times New Roman"/>
          <w:sz w:val="26"/>
          <w:szCs w:val="26"/>
        </w:rPr>
        <w:t>17–18</w:t>
      </w:r>
      <w:r w:rsidRPr="57283B4A" w:rsidR="00676053">
        <w:rPr>
          <w:rFonts w:ascii="Times New Roman" w:hAnsi="Times New Roman" w:cs="Times New Roman"/>
          <w:sz w:val="26"/>
          <w:szCs w:val="26"/>
        </w:rPr>
        <w:t xml:space="preserve"> (</w:t>
      </w:r>
      <w:r w:rsidRPr="57283B4A" w:rsidR="00D66EB8">
        <w:rPr>
          <w:rFonts w:ascii="Times New Roman" w:hAnsi="Times New Roman" w:cs="Times New Roman"/>
          <w:sz w:val="26"/>
          <w:szCs w:val="26"/>
        </w:rPr>
        <w:t>C.D. Cal. June 20, 2019</w:t>
      </w:r>
      <w:r w:rsidRPr="57283B4A" w:rsidR="00676053">
        <w:rPr>
          <w:rFonts w:ascii="Times New Roman" w:hAnsi="Times New Roman" w:cs="Times New Roman"/>
          <w:sz w:val="26"/>
          <w:szCs w:val="26"/>
        </w:rPr>
        <w:t>) (</w:t>
      </w:r>
      <w:r w:rsidRPr="57283B4A" w:rsidR="00E34F25">
        <w:rPr>
          <w:rFonts w:ascii="Times New Roman" w:hAnsi="Times New Roman" w:cs="Times New Roman"/>
          <w:sz w:val="26"/>
          <w:szCs w:val="26"/>
        </w:rPr>
        <w:t>issuing injunctive relief where transfer</w:t>
      </w:r>
      <w:r w:rsidRPr="57283B4A" w:rsidR="00A7217B">
        <w:rPr>
          <w:rFonts w:ascii="Times New Roman" w:hAnsi="Times New Roman" w:cs="Times New Roman"/>
          <w:sz w:val="26"/>
          <w:szCs w:val="26"/>
        </w:rPr>
        <w:t xml:space="preserve"> of people detained by ICE</w:t>
      </w:r>
      <w:r w:rsidRPr="57283B4A" w:rsidR="00E34F25">
        <w:rPr>
          <w:rFonts w:ascii="Times New Roman" w:hAnsi="Times New Roman" w:cs="Times New Roman"/>
          <w:sz w:val="26"/>
          <w:szCs w:val="26"/>
        </w:rPr>
        <w:t xml:space="preserve"> </w:t>
      </w:r>
      <w:r w:rsidRPr="57283B4A" w:rsidR="000B1E6D">
        <w:rPr>
          <w:rFonts w:ascii="Times New Roman" w:hAnsi="Times New Roman" w:cs="Times New Roman"/>
          <w:sz w:val="26"/>
          <w:szCs w:val="26"/>
        </w:rPr>
        <w:t>and conditions at potential transfer facilities would likely interfere with meaningful access to counsel</w:t>
      </w:r>
      <w:r w:rsidRPr="57283B4A" w:rsidR="00676053">
        <w:rPr>
          <w:rFonts w:ascii="Times New Roman" w:hAnsi="Times New Roman" w:cs="Times New Roman"/>
          <w:sz w:val="26"/>
          <w:szCs w:val="26"/>
        </w:rPr>
        <w:t>)</w:t>
      </w:r>
      <w:r w:rsidRPr="57283B4A" w:rsidR="007B2C00">
        <w:rPr>
          <w:rFonts w:ascii="Times New Roman" w:hAnsi="Times New Roman" w:cs="Times New Roman"/>
          <w:sz w:val="26"/>
          <w:szCs w:val="26"/>
        </w:rPr>
        <w:t xml:space="preserve">; </w:t>
      </w:r>
      <w:r w:rsidRPr="57283B4A" w:rsidR="007B2C00">
        <w:rPr>
          <w:rFonts w:ascii="Times New Roman" w:hAnsi="Times New Roman" w:cs="Times New Roman"/>
          <w:i w:val="1"/>
          <w:iCs w:val="1"/>
          <w:sz w:val="26"/>
          <w:szCs w:val="26"/>
        </w:rPr>
        <w:t>id.</w:t>
      </w:r>
      <w:r w:rsidRPr="57283B4A" w:rsidR="007B2C00">
        <w:rPr>
          <w:rFonts w:ascii="Times New Roman" w:hAnsi="Times New Roman" w:cs="Times New Roman"/>
          <w:sz w:val="26"/>
          <w:szCs w:val="26"/>
        </w:rPr>
        <w:t xml:space="preserve"> at</w:t>
      </w:r>
      <w:r w:rsidRPr="57283B4A" w:rsidR="000E7C85">
        <w:rPr>
          <w:rFonts w:ascii="Times New Roman" w:hAnsi="Times New Roman" w:cs="Times New Roman"/>
          <w:sz w:val="26"/>
          <w:szCs w:val="26"/>
        </w:rPr>
        <w:t xml:space="preserve"> *17 (“[E]</w:t>
      </w:r>
      <w:r w:rsidRPr="57283B4A" w:rsidR="000E7C85">
        <w:rPr>
          <w:rFonts w:ascii="Times New Roman" w:hAnsi="Times New Roman" w:cs="Times New Roman"/>
          <w:sz w:val="26"/>
          <w:szCs w:val="26"/>
        </w:rPr>
        <w:t>ven</w:t>
      </w:r>
      <w:r w:rsidRPr="57283B4A" w:rsidR="000E7C85">
        <w:rPr>
          <w:rFonts w:ascii="Times New Roman" w:hAnsi="Times New Roman" w:cs="Times New Roman"/>
          <w:sz w:val="26"/>
          <w:szCs w:val="26"/>
        </w:rPr>
        <w:t xml:space="preserve"> if telephone access were available, a healthy counsel relationship in the immigration context requires confidential in-person visitation, especially where an immigrant must be forthcoming about sensitive matters such as past trauma, mental health issues, and criminal history.”)</w:t>
      </w:r>
      <w:r w:rsidRPr="57283B4A" w:rsidR="00676053">
        <w:rPr>
          <w:rFonts w:ascii="Times New Roman" w:hAnsi="Times New Roman" w:cs="Times New Roman"/>
          <w:sz w:val="26"/>
          <w:szCs w:val="26"/>
        </w:rPr>
        <w:t>;</w:t>
      </w:r>
      <w:r w:rsidRPr="57283B4A" w:rsidR="00B12977">
        <w:rPr>
          <w:rFonts w:ascii="Times New Roman" w:hAnsi="Times New Roman" w:cs="Times New Roman"/>
          <w:sz w:val="26"/>
          <w:szCs w:val="26"/>
        </w:rPr>
        <w:t xml:space="preserve"> </w:t>
      </w:r>
      <w:r w:rsidRPr="57283B4A" w:rsidR="00B12977">
        <w:rPr>
          <w:rFonts w:ascii="Times New Roman" w:hAnsi="Times New Roman" w:cs="Times New Roman"/>
          <w:i w:val="1"/>
          <w:iCs w:val="1"/>
          <w:sz w:val="26"/>
          <w:szCs w:val="26"/>
        </w:rPr>
        <w:t>Orantes</w:t>
      </w:r>
      <w:r w:rsidRPr="57283B4A" w:rsidR="00551E64">
        <w:rPr>
          <w:rFonts w:ascii="Times New Roman" w:hAnsi="Times New Roman" w:cs="Times New Roman"/>
          <w:i w:val="1"/>
          <w:iCs w:val="1"/>
          <w:sz w:val="26"/>
          <w:szCs w:val="26"/>
        </w:rPr>
        <w:t>-Hernandez v. Meese</w:t>
      </w:r>
      <w:r w:rsidRPr="57283B4A" w:rsidR="00551E64">
        <w:rPr>
          <w:rFonts w:ascii="Times New Roman" w:hAnsi="Times New Roman" w:cs="Times New Roman"/>
          <w:sz w:val="26"/>
          <w:szCs w:val="26"/>
        </w:rPr>
        <w:t xml:space="preserve">, 685 </w:t>
      </w:r>
      <w:r w:rsidRPr="57283B4A" w:rsidR="00551E64">
        <w:rPr>
          <w:rFonts w:ascii="Times New Roman" w:hAnsi="Times New Roman" w:cs="Times New Roman"/>
          <w:sz w:val="26"/>
          <w:szCs w:val="26"/>
        </w:rPr>
        <w:t>F.Supp</w:t>
      </w:r>
      <w:r w:rsidRPr="57283B4A" w:rsidR="00551E64">
        <w:rPr>
          <w:rFonts w:ascii="Times New Roman" w:hAnsi="Times New Roman" w:cs="Times New Roman"/>
          <w:sz w:val="26"/>
          <w:szCs w:val="26"/>
        </w:rPr>
        <w:t xml:space="preserve">. 1488, </w:t>
      </w:r>
      <w:r w:rsidRPr="57283B4A" w:rsidR="00555839">
        <w:rPr>
          <w:rFonts w:ascii="Times New Roman" w:hAnsi="Times New Roman" w:cs="Times New Roman"/>
          <w:sz w:val="26"/>
          <w:szCs w:val="26"/>
        </w:rPr>
        <w:t>1500</w:t>
      </w:r>
      <w:r w:rsidRPr="57283B4A" w:rsidR="0053477C">
        <w:rPr>
          <w:rFonts w:ascii="Times New Roman" w:hAnsi="Times New Roman" w:cs="Times New Roman"/>
          <w:sz w:val="26"/>
          <w:szCs w:val="26"/>
        </w:rPr>
        <w:t xml:space="preserve"> (</w:t>
      </w:r>
      <w:r w:rsidRPr="57283B4A" w:rsidR="00551E64">
        <w:rPr>
          <w:rFonts w:ascii="Times New Roman" w:hAnsi="Times New Roman" w:cs="Times New Roman"/>
          <w:sz w:val="26"/>
          <w:szCs w:val="26"/>
        </w:rPr>
        <w:t>C.D. Cal. 1988</w:t>
      </w:r>
      <w:r w:rsidRPr="57283B4A" w:rsidR="0053477C">
        <w:rPr>
          <w:rFonts w:ascii="Times New Roman" w:hAnsi="Times New Roman" w:cs="Times New Roman"/>
          <w:sz w:val="26"/>
          <w:szCs w:val="26"/>
        </w:rPr>
        <w:t>)</w:t>
      </w:r>
      <w:r w:rsidRPr="57283B4A" w:rsidR="00551E64">
        <w:rPr>
          <w:rFonts w:ascii="Times New Roman" w:hAnsi="Times New Roman" w:cs="Times New Roman"/>
          <w:sz w:val="26"/>
          <w:szCs w:val="26"/>
        </w:rPr>
        <w:t xml:space="preserve"> (</w:t>
      </w:r>
      <w:r w:rsidRPr="57283B4A" w:rsidR="00287D50">
        <w:rPr>
          <w:rFonts w:ascii="Times New Roman" w:hAnsi="Times New Roman" w:cs="Times New Roman"/>
          <w:sz w:val="26"/>
          <w:szCs w:val="26"/>
        </w:rPr>
        <w:t xml:space="preserve">finding, as to </w:t>
      </w:r>
      <w:r w:rsidRPr="57283B4A" w:rsidR="007876DB">
        <w:rPr>
          <w:rFonts w:ascii="Times New Roman" w:hAnsi="Times New Roman" w:cs="Times New Roman"/>
          <w:sz w:val="26"/>
          <w:szCs w:val="26"/>
        </w:rPr>
        <w:t xml:space="preserve">nationwide </w:t>
      </w:r>
      <w:r w:rsidRPr="57283B4A" w:rsidR="00287D50">
        <w:rPr>
          <w:rFonts w:ascii="Times New Roman" w:hAnsi="Times New Roman" w:cs="Times New Roman"/>
          <w:sz w:val="26"/>
          <w:szCs w:val="26"/>
        </w:rPr>
        <w:t xml:space="preserve">class of detained Salvadorans, </w:t>
      </w:r>
      <w:r w:rsidRPr="57283B4A" w:rsidR="00555839">
        <w:rPr>
          <w:rFonts w:ascii="Times New Roman" w:hAnsi="Times New Roman" w:cs="Times New Roman"/>
          <w:sz w:val="26"/>
          <w:szCs w:val="26"/>
        </w:rPr>
        <w:t xml:space="preserve">that ICE’s predecessor agency “knowingly locates its major detention facilities in communities with little or no legal representation available to indigent detainees,” </w:t>
      </w:r>
      <w:r w:rsidRPr="57283B4A" w:rsidR="002B4C56">
        <w:rPr>
          <w:rFonts w:ascii="Times New Roman" w:hAnsi="Times New Roman" w:cs="Times New Roman"/>
          <w:sz w:val="26"/>
          <w:szCs w:val="26"/>
        </w:rPr>
        <w:t xml:space="preserve">that </w:t>
      </w:r>
      <w:r w:rsidRPr="57283B4A" w:rsidR="00B532DC">
        <w:rPr>
          <w:rFonts w:ascii="Times New Roman" w:hAnsi="Times New Roman" w:cs="Times New Roman"/>
          <w:sz w:val="26"/>
          <w:szCs w:val="26"/>
        </w:rPr>
        <w:t>class members who have secured counsel are “frequently prejudiced by transfer” because “[p]</w:t>
      </w:r>
      <w:r w:rsidRPr="57283B4A" w:rsidR="00B532DC">
        <w:rPr>
          <w:rFonts w:ascii="Times New Roman" w:hAnsi="Times New Roman" w:cs="Times New Roman"/>
          <w:sz w:val="26"/>
          <w:szCs w:val="26"/>
        </w:rPr>
        <w:t>ro</w:t>
      </w:r>
      <w:r w:rsidRPr="57283B4A" w:rsidR="00B532DC">
        <w:rPr>
          <w:rFonts w:ascii="Times New Roman" w:hAnsi="Times New Roman" w:cs="Times New Roman"/>
          <w:sz w:val="26"/>
          <w:szCs w:val="26"/>
        </w:rPr>
        <w:t xml:space="preserve"> bono </w:t>
      </w:r>
      <w:r w:rsidRPr="57283B4A" w:rsidR="0054106C">
        <w:rPr>
          <w:rFonts w:ascii="Times New Roman" w:hAnsi="Times New Roman" w:cs="Times New Roman"/>
          <w:sz w:val="26"/>
          <w:szCs w:val="26"/>
        </w:rPr>
        <w:t xml:space="preserve">attorneys often cannot afford to travel to remote facilities to meet with clients or attend hearings,” and that </w:t>
      </w:r>
      <w:r w:rsidRPr="57283B4A" w:rsidR="00334131">
        <w:rPr>
          <w:rFonts w:ascii="Times New Roman" w:hAnsi="Times New Roman" w:cs="Times New Roman"/>
          <w:sz w:val="26"/>
          <w:szCs w:val="26"/>
        </w:rPr>
        <w:t>transfer “creates the additional prejudice of preventing attorneys from meeting with and preparing their clients’ cases”</w:t>
      </w:r>
      <w:r w:rsidRPr="57283B4A" w:rsidR="00551E64">
        <w:rPr>
          <w:rFonts w:ascii="Times New Roman" w:hAnsi="Times New Roman" w:cs="Times New Roman"/>
          <w:sz w:val="26"/>
          <w:szCs w:val="26"/>
        </w:rPr>
        <w:t>)</w:t>
      </w:r>
      <w:r w:rsidRPr="57283B4A" w:rsidR="0053477C">
        <w:rPr>
          <w:rFonts w:ascii="Times New Roman" w:hAnsi="Times New Roman" w:cs="Times New Roman"/>
          <w:sz w:val="26"/>
          <w:szCs w:val="26"/>
        </w:rPr>
        <w:t>;</w:t>
      </w:r>
      <w:r w:rsidRPr="57283B4A" w:rsidR="00080447">
        <w:rPr>
          <w:rFonts w:ascii="Times New Roman" w:hAnsi="Times New Roman" w:cs="Times New Roman"/>
          <w:sz w:val="26"/>
          <w:szCs w:val="26"/>
        </w:rPr>
        <w:t xml:space="preserve"> </w:t>
      </w:r>
      <w:r w:rsidRPr="57283B4A" w:rsidR="00080447">
        <w:rPr>
          <w:rFonts w:ascii="Times New Roman" w:hAnsi="Times New Roman" w:cs="Times New Roman"/>
          <w:i w:val="1"/>
          <w:iCs w:val="1"/>
          <w:sz w:val="26"/>
          <w:szCs w:val="26"/>
        </w:rPr>
        <w:t>A</w:t>
      </w:r>
      <w:r w:rsidRPr="57283B4A" w:rsidR="003A1955">
        <w:rPr>
          <w:rFonts w:ascii="Times New Roman" w:hAnsi="Times New Roman" w:cs="Times New Roman"/>
          <w:i w:val="1"/>
          <w:iCs w:val="1"/>
          <w:sz w:val="26"/>
          <w:szCs w:val="26"/>
        </w:rPr>
        <w:t xml:space="preserve">mericans for Imm. Justice v. U.S. </w:t>
      </w:r>
      <w:r w:rsidRPr="57283B4A" w:rsidR="003A1955">
        <w:rPr>
          <w:rFonts w:ascii="Times New Roman" w:hAnsi="Times New Roman" w:cs="Times New Roman"/>
          <w:i w:val="1"/>
          <w:iCs w:val="1"/>
          <w:sz w:val="26"/>
          <w:szCs w:val="26"/>
        </w:rPr>
        <w:t>Dep’t</w:t>
      </w:r>
      <w:r w:rsidRPr="57283B4A" w:rsidR="003A1955">
        <w:rPr>
          <w:rFonts w:ascii="Times New Roman" w:hAnsi="Times New Roman" w:cs="Times New Roman"/>
          <w:i w:val="1"/>
          <w:iCs w:val="1"/>
          <w:sz w:val="26"/>
          <w:szCs w:val="26"/>
        </w:rPr>
        <w:t xml:space="preserve"> of Homeland Sec.</w:t>
      </w:r>
      <w:r w:rsidRPr="57283B4A" w:rsidR="003A1955">
        <w:rPr>
          <w:rFonts w:ascii="Times New Roman" w:hAnsi="Times New Roman" w:cs="Times New Roman"/>
          <w:sz w:val="26"/>
          <w:szCs w:val="26"/>
        </w:rPr>
        <w:t xml:space="preserve">, No. </w:t>
      </w:r>
      <w:r w:rsidRPr="57283B4A" w:rsidR="00A7217B">
        <w:rPr>
          <w:rFonts w:ascii="Times New Roman" w:hAnsi="Times New Roman" w:cs="Times New Roman"/>
          <w:sz w:val="26"/>
          <w:szCs w:val="26"/>
        </w:rPr>
        <w:t>22-3118 (CKK)</w:t>
      </w:r>
      <w:r w:rsidRPr="57283B4A" w:rsidR="003A1955">
        <w:rPr>
          <w:rFonts w:ascii="Times New Roman" w:hAnsi="Times New Roman" w:cs="Times New Roman"/>
          <w:sz w:val="26"/>
          <w:szCs w:val="26"/>
        </w:rPr>
        <w:t xml:space="preserve">, </w:t>
      </w:r>
      <w:r w:rsidRPr="57283B4A" w:rsidR="0003578D">
        <w:rPr>
          <w:rFonts w:ascii="Times New Roman" w:hAnsi="Times New Roman" w:cs="Times New Roman"/>
          <w:sz w:val="26"/>
          <w:szCs w:val="26"/>
        </w:rPr>
        <w:t>2023 WL 1438376</w:t>
      </w:r>
      <w:r w:rsidRPr="57283B4A" w:rsidR="003A1955">
        <w:rPr>
          <w:rFonts w:ascii="Times New Roman" w:hAnsi="Times New Roman" w:cs="Times New Roman"/>
          <w:sz w:val="26"/>
          <w:szCs w:val="26"/>
        </w:rPr>
        <w:t>, at *</w:t>
      </w:r>
      <w:r w:rsidRPr="57283B4A" w:rsidR="00A7217B">
        <w:rPr>
          <w:rFonts w:ascii="Times New Roman" w:hAnsi="Times New Roman" w:cs="Times New Roman"/>
          <w:sz w:val="26"/>
          <w:szCs w:val="26"/>
        </w:rPr>
        <w:t>11–</w:t>
      </w:r>
      <w:r w:rsidRPr="57283B4A" w:rsidR="00B53D3B">
        <w:rPr>
          <w:rFonts w:ascii="Times New Roman" w:hAnsi="Times New Roman" w:cs="Times New Roman"/>
          <w:sz w:val="26"/>
          <w:szCs w:val="26"/>
        </w:rPr>
        <w:t>17</w:t>
      </w:r>
      <w:r w:rsidRPr="57283B4A" w:rsidR="003A1955">
        <w:rPr>
          <w:rFonts w:ascii="Times New Roman" w:hAnsi="Times New Roman" w:cs="Times New Roman"/>
          <w:sz w:val="26"/>
          <w:szCs w:val="26"/>
        </w:rPr>
        <w:t xml:space="preserve"> (D.D.C. Feb. 1, 2023) (finding</w:t>
      </w:r>
      <w:r w:rsidRPr="57283B4A" w:rsidR="00A7217B">
        <w:rPr>
          <w:rFonts w:ascii="Times New Roman" w:hAnsi="Times New Roman" w:cs="Times New Roman"/>
          <w:sz w:val="26"/>
          <w:szCs w:val="26"/>
        </w:rPr>
        <w:t xml:space="preserve">, as to four ICE detention facilities </w:t>
      </w:r>
      <w:r w:rsidRPr="57283B4A" w:rsidR="00B53D3B">
        <w:rPr>
          <w:rFonts w:ascii="Times New Roman" w:hAnsi="Times New Roman" w:cs="Times New Roman"/>
          <w:sz w:val="26"/>
          <w:szCs w:val="26"/>
        </w:rPr>
        <w:t xml:space="preserve">located </w:t>
      </w:r>
      <w:r w:rsidRPr="57283B4A" w:rsidR="00A7217B">
        <w:rPr>
          <w:rFonts w:ascii="Times New Roman" w:hAnsi="Times New Roman" w:cs="Times New Roman"/>
          <w:sz w:val="26"/>
          <w:szCs w:val="26"/>
        </w:rPr>
        <w:t>in various parts of the country,</w:t>
      </w:r>
      <w:r w:rsidRPr="57283B4A" w:rsidR="003A1955">
        <w:rPr>
          <w:rFonts w:ascii="Times New Roman" w:hAnsi="Times New Roman" w:cs="Times New Roman"/>
          <w:sz w:val="26"/>
          <w:szCs w:val="26"/>
        </w:rPr>
        <w:t xml:space="preserve"> </w:t>
      </w:r>
      <w:r w:rsidRPr="57283B4A" w:rsidR="00A23C6B">
        <w:rPr>
          <w:rFonts w:ascii="Times New Roman" w:hAnsi="Times New Roman" w:cs="Times New Roman"/>
          <w:sz w:val="26"/>
          <w:szCs w:val="26"/>
        </w:rPr>
        <w:t>“</w:t>
      </w:r>
      <w:r w:rsidRPr="57283B4A" w:rsidR="009E1CE3">
        <w:rPr>
          <w:rFonts w:ascii="Times New Roman" w:hAnsi="Times New Roman" w:cs="Times New Roman"/>
          <w:sz w:val="26"/>
          <w:szCs w:val="26"/>
        </w:rPr>
        <w:t>spotty compliance with [the facilities’] internal policies</w:t>
      </w:r>
      <w:r w:rsidRPr="57283B4A" w:rsidR="00A23C6B">
        <w:rPr>
          <w:rFonts w:ascii="Times New Roman" w:hAnsi="Times New Roman" w:cs="Times New Roman"/>
          <w:sz w:val="26"/>
          <w:szCs w:val="26"/>
        </w:rPr>
        <w:t xml:space="preserve">” and </w:t>
      </w:r>
      <w:r w:rsidRPr="57283B4A" w:rsidR="009E1CE3">
        <w:rPr>
          <w:rFonts w:ascii="Times New Roman" w:hAnsi="Times New Roman" w:cs="Times New Roman"/>
          <w:sz w:val="26"/>
          <w:szCs w:val="26"/>
        </w:rPr>
        <w:t>violations of ICE</w:t>
      </w:r>
      <w:r w:rsidRPr="57283B4A" w:rsidR="00A3689D">
        <w:rPr>
          <w:rFonts w:ascii="Times New Roman" w:hAnsi="Times New Roman" w:cs="Times New Roman"/>
          <w:sz w:val="26"/>
          <w:szCs w:val="26"/>
        </w:rPr>
        <w:t xml:space="preserve"> standards as to legal visits</w:t>
      </w:r>
      <w:r w:rsidRPr="57283B4A" w:rsidR="00B53D3B">
        <w:rPr>
          <w:rFonts w:ascii="Times New Roman" w:hAnsi="Times New Roman" w:cs="Times New Roman"/>
          <w:sz w:val="26"/>
          <w:szCs w:val="26"/>
        </w:rPr>
        <w:t xml:space="preserve">, including one facility that “has effectively blocked attorney-access </w:t>
      </w:r>
      <w:r w:rsidRPr="57283B4A" w:rsidR="00B53D3B">
        <w:rPr>
          <w:rFonts w:ascii="Times New Roman" w:hAnsi="Times New Roman" w:cs="Times New Roman"/>
          <w:i w:val="1"/>
          <w:iCs w:val="1"/>
          <w:sz w:val="26"/>
          <w:szCs w:val="26"/>
        </w:rPr>
        <w:t>in toto</w:t>
      </w:r>
      <w:r w:rsidRPr="57283B4A" w:rsidR="00B53D3B">
        <w:rPr>
          <w:rFonts w:ascii="Times New Roman" w:hAnsi="Times New Roman" w:cs="Times New Roman"/>
          <w:sz w:val="26"/>
          <w:szCs w:val="26"/>
        </w:rPr>
        <w:t>”</w:t>
      </w:r>
      <w:r w:rsidRPr="57283B4A" w:rsidR="003A1955">
        <w:rPr>
          <w:rFonts w:ascii="Times New Roman" w:hAnsi="Times New Roman" w:cs="Times New Roman"/>
          <w:sz w:val="26"/>
          <w:szCs w:val="26"/>
        </w:rPr>
        <w:t>)</w:t>
      </w:r>
      <w:r w:rsidRPr="57283B4A" w:rsidR="00080447">
        <w:rPr>
          <w:rFonts w:ascii="Times New Roman" w:hAnsi="Times New Roman" w:cs="Times New Roman"/>
          <w:sz w:val="26"/>
          <w:szCs w:val="26"/>
        </w:rPr>
        <w:t>;</w:t>
      </w:r>
      <w:r w:rsidRPr="57283B4A" w:rsidR="00212473">
        <w:rPr>
          <w:rFonts w:ascii="Times New Roman" w:hAnsi="Times New Roman" w:cs="Times New Roman"/>
          <w:sz w:val="26"/>
          <w:szCs w:val="26"/>
        </w:rPr>
        <w:t xml:space="preserve"> </w:t>
      </w:r>
      <w:r w:rsidRPr="57283B4A" w:rsidR="00E5550C">
        <w:rPr>
          <w:rFonts w:ascii="Times New Roman" w:hAnsi="Times New Roman" w:cs="Times New Roman"/>
          <w:i w:val="1"/>
          <w:iCs w:val="1"/>
          <w:sz w:val="26"/>
          <w:szCs w:val="26"/>
        </w:rPr>
        <w:t xml:space="preserve">Advocates for Human Rights v. U.S. </w:t>
      </w:r>
      <w:r w:rsidRPr="57283B4A" w:rsidR="00E5550C">
        <w:rPr>
          <w:rFonts w:ascii="Times New Roman" w:hAnsi="Times New Roman" w:cs="Times New Roman"/>
          <w:i w:val="1"/>
          <w:iCs w:val="1"/>
          <w:sz w:val="26"/>
          <w:szCs w:val="26"/>
        </w:rPr>
        <w:t>Dep’t</w:t>
      </w:r>
      <w:r w:rsidRPr="57283B4A" w:rsidR="00E5550C">
        <w:rPr>
          <w:rFonts w:ascii="Times New Roman" w:hAnsi="Times New Roman" w:cs="Times New Roman"/>
          <w:i w:val="1"/>
          <w:iCs w:val="1"/>
          <w:sz w:val="26"/>
          <w:szCs w:val="26"/>
        </w:rPr>
        <w:t xml:space="preserve"> of Homeland Sec.</w:t>
      </w:r>
      <w:r w:rsidRPr="57283B4A" w:rsidR="00E5550C">
        <w:rPr>
          <w:rFonts w:ascii="Times New Roman" w:hAnsi="Times New Roman" w:cs="Times New Roman"/>
          <w:sz w:val="26"/>
          <w:szCs w:val="26"/>
        </w:rPr>
        <w:t xml:space="preserve">, No. </w:t>
      </w:r>
      <w:r w:rsidRPr="57283B4A" w:rsidR="00B12977">
        <w:rPr>
          <w:rFonts w:ascii="Times New Roman" w:hAnsi="Times New Roman" w:cs="Times New Roman"/>
          <w:sz w:val="26"/>
          <w:szCs w:val="26"/>
        </w:rPr>
        <w:t>26-CV-749 (NEB/DLM)</w:t>
      </w:r>
      <w:r w:rsidRPr="57283B4A" w:rsidR="00E5550C">
        <w:rPr>
          <w:rFonts w:ascii="Times New Roman" w:hAnsi="Times New Roman" w:cs="Times New Roman"/>
          <w:sz w:val="26"/>
          <w:szCs w:val="26"/>
        </w:rPr>
        <w:t xml:space="preserve">, </w:t>
      </w:r>
      <w:r w:rsidRPr="57283B4A" w:rsidR="00B12977">
        <w:rPr>
          <w:rFonts w:ascii="Times New Roman" w:hAnsi="Times New Roman" w:cs="Times New Roman"/>
          <w:sz w:val="26"/>
          <w:szCs w:val="26"/>
        </w:rPr>
        <w:t>2026 WL 404457</w:t>
      </w:r>
      <w:r w:rsidRPr="57283B4A" w:rsidR="00E5550C">
        <w:rPr>
          <w:rFonts w:ascii="Times New Roman" w:hAnsi="Times New Roman" w:cs="Times New Roman"/>
          <w:sz w:val="26"/>
          <w:szCs w:val="26"/>
        </w:rPr>
        <w:t>, at *</w:t>
      </w:r>
      <w:r w:rsidRPr="57283B4A" w:rsidR="00295EFD">
        <w:rPr>
          <w:rFonts w:ascii="Times New Roman" w:hAnsi="Times New Roman" w:cs="Times New Roman"/>
          <w:sz w:val="26"/>
          <w:szCs w:val="26"/>
        </w:rPr>
        <w:t>8–9</w:t>
      </w:r>
      <w:r w:rsidRPr="57283B4A" w:rsidR="00E5550C">
        <w:rPr>
          <w:rFonts w:ascii="Times New Roman" w:hAnsi="Times New Roman" w:cs="Times New Roman"/>
          <w:sz w:val="26"/>
          <w:szCs w:val="26"/>
        </w:rPr>
        <w:t xml:space="preserve"> (</w:t>
      </w:r>
      <w:r w:rsidRPr="57283B4A" w:rsidR="00B12977">
        <w:rPr>
          <w:rFonts w:ascii="Times New Roman" w:hAnsi="Times New Roman" w:cs="Times New Roman"/>
          <w:sz w:val="26"/>
          <w:szCs w:val="26"/>
        </w:rPr>
        <w:t>D. Minn. Feb. 12, 2026</w:t>
      </w:r>
      <w:r w:rsidRPr="57283B4A" w:rsidR="00E5550C">
        <w:rPr>
          <w:rFonts w:ascii="Times New Roman" w:hAnsi="Times New Roman" w:cs="Times New Roman"/>
          <w:sz w:val="26"/>
          <w:szCs w:val="26"/>
        </w:rPr>
        <w:t>)</w:t>
      </w:r>
      <w:r w:rsidRPr="57283B4A" w:rsidR="0053477C">
        <w:rPr>
          <w:rFonts w:ascii="Times New Roman" w:hAnsi="Times New Roman" w:cs="Times New Roman"/>
          <w:sz w:val="26"/>
          <w:szCs w:val="26"/>
        </w:rPr>
        <w:t xml:space="preserve"> (</w:t>
      </w:r>
      <w:r w:rsidRPr="57283B4A" w:rsidR="00295EFD">
        <w:rPr>
          <w:rFonts w:ascii="Times New Roman" w:hAnsi="Times New Roman" w:cs="Times New Roman"/>
          <w:sz w:val="26"/>
          <w:szCs w:val="26"/>
        </w:rPr>
        <w:t xml:space="preserve">finding that legal aid nonprofit </w:t>
      </w:r>
      <w:r w:rsidRPr="57283B4A" w:rsidR="00A200A9">
        <w:rPr>
          <w:rFonts w:ascii="Times New Roman" w:hAnsi="Times New Roman" w:cs="Times New Roman"/>
          <w:sz w:val="26"/>
          <w:szCs w:val="26"/>
        </w:rPr>
        <w:t xml:space="preserve">in Minnesota </w:t>
      </w:r>
      <w:r w:rsidRPr="57283B4A" w:rsidR="00295EFD">
        <w:rPr>
          <w:rFonts w:ascii="Times New Roman" w:hAnsi="Times New Roman" w:cs="Times New Roman"/>
          <w:sz w:val="26"/>
          <w:szCs w:val="26"/>
        </w:rPr>
        <w:t>suffer</w:t>
      </w:r>
      <w:r w:rsidRPr="57283B4A" w:rsidR="00632E18">
        <w:rPr>
          <w:rFonts w:ascii="Times New Roman" w:hAnsi="Times New Roman" w:cs="Times New Roman"/>
          <w:sz w:val="26"/>
          <w:szCs w:val="26"/>
        </w:rPr>
        <w:t>ed</w:t>
      </w:r>
      <w:r w:rsidRPr="57283B4A" w:rsidR="00295EFD">
        <w:rPr>
          <w:rFonts w:ascii="Times New Roman" w:hAnsi="Times New Roman" w:cs="Times New Roman"/>
          <w:sz w:val="26"/>
          <w:szCs w:val="26"/>
        </w:rPr>
        <w:t xml:space="preserve"> </w:t>
      </w:r>
      <w:r w:rsidRPr="57283B4A" w:rsidR="00632E18">
        <w:rPr>
          <w:rFonts w:ascii="Times New Roman" w:hAnsi="Times New Roman" w:cs="Times New Roman"/>
          <w:sz w:val="26"/>
          <w:szCs w:val="26"/>
        </w:rPr>
        <w:t xml:space="preserve">injury in fact where </w:t>
      </w:r>
      <w:r w:rsidRPr="57283B4A" w:rsidR="00DF2BB3">
        <w:rPr>
          <w:rFonts w:ascii="Times New Roman" w:hAnsi="Times New Roman" w:cs="Times New Roman"/>
          <w:sz w:val="26"/>
          <w:szCs w:val="26"/>
        </w:rPr>
        <w:t xml:space="preserve">Government’s policies and practices, including </w:t>
      </w:r>
      <w:r w:rsidRPr="57283B4A" w:rsidR="00B311F2">
        <w:rPr>
          <w:rFonts w:ascii="Times New Roman" w:hAnsi="Times New Roman" w:cs="Times New Roman"/>
          <w:sz w:val="26"/>
          <w:szCs w:val="26"/>
        </w:rPr>
        <w:t>transferring</w:t>
      </w:r>
      <w:r w:rsidRPr="57283B4A" w:rsidR="00DF2BB3">
        <w:rPr>
          <w:rFonts w:ascii="Times New Roman" w:hAnsi="Times New Roman" w:cs="Times New Roman"/>
          <w:sz w:val="26"/>
          <w:szCs w:val="26"/>
        </w:rPr>
        <w:t xml:space="preserve"> nonprofit’s clients</w:t>
      </w:r>
      <w:r w:rsidRPr="57283B4A" w:rsidR="00B311F2">
        <w:rPr>
          <w:rFonts w:ascii="Times New Roman" w:hAnsi="Times New Roman" w:cs="Times New Roman"/>
          <w:sz w:val="26"/>
          <w:szCs w:val="26"/>
        </w:rPr>
        <w:t xml:space="preserve"> detained during Operation Metro Surge</w:t>
      </w:r>
      <w:r w:rsidRPr="57283B4A" w:rsidR="00DF2BB3">
        <w:rPr>
          <w:rFonts w:ascii="Times New Roman" w:hAnsi="Times New Roman" w:cs="Times New Roman"/>
          <w:sz w:val="26"/>
          <w:szCs w:val="26"/>
        </w:rPr>
        <w:t xml:space="preserve"> out</w:t>
      </w:r>
      <w:r w:rsidRPr="57283B4A" w:rsidR="0057358A">
        <w:rPr>
          <w:rFonts w:ascii="Times New Roman" w:hAnsi="Times New Roman" w:cs="Times New Roman"/>
          <w:sz w:val="26"/>
          <w:szCs w:val="26"/>
        </w:rPr>
        <w:t>-</w:t>
      </w:r>
      <w:r w:rsidRPr="57283B4A" w:rsidR="00DF2BB3">
        <w:rPr>
          <w:rFonts w:ascii="Times New Roman" w:hAnsi="Times New Roman" w:cs="Times New Roman"/>
          <w:sz w:val="26"/>
          <w:szCs w:val="26"/>
        </w:rPr>
        <w:t>of</w:t>
      </w:r>
      <w:r w:rsidRPr="57283B4A" w:rsidR="0057358A">
        <w:rPr>
          <w:rFonts w:ascii="Times New Roman" w:hAnsi="Times New Roman" w:cs="Times New Roman"/>
          <w:sz w:val="26"/>
          <w:szCs w:val="26"/>
        </w:rPr>
        <w:t>-</w:t>
      </w:r>
      <w:r w:rsidRPr="57283B4A" w:rsidR="00DF2BB3">
        <w:rPr>
          <w:rFonts w:ascii="Times New Roman" w:hAnsi="Times New Roman" w:cs="Times New Roman"/>
          <w:sz w:val="26"/>
          <w:szCs w:val="26"/>
        </w:rPr>
        <w:t xml:space="preserve">state, </w:t>
      </w:r>
      <w:r w:rsidRPr="57283B4A" w:rsidR="00A200A9">
        <w:rPr>
          <w:rFonts w:ascii="Times New Roman" w:hAnsi="Times New Roman" w:cs="Times New Roman"/>
          <w:sz w:val="26"/>
          <w:szCs w:val="26"/>
        </w:rPr>
        <w:t>prevented nonprofit</w:t>
      </w:r>
      <w:r w:rsidRPr="57283B4A" w:rsidR="00B311F2">
        <w:rPr>
          <w:rFonts w:ascii="Times New Roman" w:hAnsi="Times New Roman" w:cs="Times New Roman"/>
          <w:sz w:val="26"/>
          <w:szCs w:val="26"/>
        </w:rPr>
        <w:t>’s</w:t>
      </w:r>
      <w:r w:rsidRPr="57283B4A" w:rsidR="00A200A9">
        <w:rPr>
          <w:rFonts w:ascii="Times New Roman" w:hAnsi="Times New Roman" w:cs="Times New Roman"/>
          <w:sz w:val="26"/>
          <w:szCs w:val="26"/>
        </w:rPr>
        <w:t xml:space="preserve"> attorneys from accessing clients </w:t>
      </w:r>
      <w:r w:rsidRPr="57283B4A" w:rsidR="0057358A">
        <w:rPr>
          <w:rFonts w:ascii="Times New Roman" w:hAnsi="Times New Roman" w:cs="Times New Roman"/>
          <w:sz w:val="26"/>
          <w:szCs w:val="26"/>
        </w:rPr>
        <w:t>and resulted in diversion of time and resources “toward locating clients, establishing basic communication, and pursuing emergency filings”</w:t>
      </w:r>
      <w:r w:rsidRPr="57283B4A" w:rsidR="0053477C">
        <w:rPr>
          <w:rFonts w:ascii="Times New Roman" w:hAnsi="Times New Roman" w:cs="Times New Roman"/>
          <w:sz w:val="26"/>
          <w:szCs w:val="26"/>
        </w:rPr>
        <w:t>)</w:t>
      </w:r>
      <w:r w:rsidRPr="57283B4A" w:rsidR="00F74D49">
        <w:rPr>
          <w:rFonts w:ascii="Times New Roman" w:hAnsi="Times New Roman" w:cs="Times New Roman"/>
          <w:sz w:val="26"/>
          <w:szCs w:val="26"/>
        </w:rPr>
        <w:t xml:space="preserve">; </w:t>
      </w:r>
      <w:r w:rsidRPr="57283B4A" w:rsidR="00F74D49">
        <w:rPr>
          <w:rFonts w:ascii="Times New Roman" w:hAnsi="Times New Roman" w:cs="Times New Roman"/>
          <w:i w:val="1"/>
          <w:iCs w:val="1"/>
          <w:sz w:val="26"/>
          <w:szCs w:val="26"/>
        </w:rPr>
        <w:t>see also</w:t>
      </w:r>
      <w:r w:rsidRPr="57283B4A" w:rsidR="00F74D49">
        <w:rPr>
          <w:rFonts w:ascii="Times New Roman" w:hAnsi="Times New Roman" w:cs="Times New Roman"/>
          <w:sz w:val="26"/>
          <w:szCs w:val="26"/>
        </w:rPr>
        <w:t xml:space="preserve"> </w:t>
      </w:r>
      <w:r w:rsidRPr="57283B4A" w:rsidR="0099635E">
        <w:rPr>
          <w:rFonts w:ascii="Times New Roman" w:hAnsi="Times New Roman" w:cs="Times New Roman"/>
          <w:sz w:val="26"/>
          <w:szCs w:val="26"/>
        </w:rPr>
        <w:t>Natasha Phillips,</w:t>
      </w:r>
      <w:r w:rsidRPr="57283B4A" w:rsidR="00211FA6">
        <w:rPr>
          <w:rFonts w:ascii="Times New Roman" w:hAnsi="Times New Roman" w:cs="Times New Roman"/>
          <w:sz w:val="26"/>
          <w:szCs w:val="26"/>
        </w:rPr>
        <w:t xml:space="preserve"> </w:t>
      </w:r>
      <w:r w:rsidRPr="57283B4A" w:rsidR="00211FA6">
        <w:rPr>
          <w:rFonts w:ascii="Times New Roman" w:hAnsi="Times New Roman" w:cs="Times New Roman"/>
          <w:i w:val="1"/>
          <w:iCs w:val="1"/>
          <w:sz w:val="26"/>
          <w:szCs w:val="26"/>
        </w:rPr>
        <w:t>Keeping Counsel: Challenging Immigrat</w:t>
      </w:r>
      <w:r w:rsidRPr="57283B4A" w:rsidR="003D5FB4">
        <w:rPr>
          <w:rFonts w:ascii="Times New Roman" w:hAnsi="Times New Roman" w:cs="Times New Roman"/>
          <w:i w:val="1"/>
          <w:iCs w:val="1"/>
          <w:sz w:val="26"/>
          <w:szCs w:val="26"/>
        </w:rPr>
        <w:t>io</w:t>
      </w:r>
      <w:r w:rsidRPr="57283B4A" w:rsidR="00211FA6">
        <w:rPr>
          <w:rFonts w:ascii="Times New Roman" w:hAnsi="Times New Roman" w:cs="Times New Roman"/>
          <w:i w:val="1"/>
          <w:iCs w:val="1"/>
          <w:sz w:val="26"/>
          <w:szCs w:val="26"/>
        </w:rPr>
        <w:t>n Detention Transfers as a Violation of the Right to Retained Counsel</w:t>
      </w:r>
      <w:r w:rsidRPr="57283B4A" w:rsidR="00211FA6">
        <w:rPr>
          <w:rFonts w:ascii="Times New Roman" w:hAnsi="Times New Roman" w:cs="Times New Roman"/>
          <w:sz w:val="26"/>
          <w:szCs w:val="26"/>
        </w:rPr>
        <w:t xml:space="preserve">, </w:t>
      </w:r>
      <w:r w:rsidRPr="57283B4A" w:rsidR="00DD3A8B">
        <w:rPr>
          <w:rFonts w:ascii="Times New Roman" w:hAnsi="Times New Roman" w:cs="Times New Roman"/>
          <w:sz w:val="26"/>
          <w:szCs w:val="26"/>
        </w:rPr>
        <w:t xml:space="preserve">27 </w:t>
      </w:r>
      <w:r w:rsidRPr="57283B4A" w:rsidR="00DD3A8B">
        <w:rPr>
          <w:rFonts w:ascii="Times New Roman" w:hAnsi="Times New Roman" w:cs="Times New Roman"/>
          <w:smallCaps w:val="1"/>
          <w:sz w:val="26"/>
          <w:szCs w:val="26"/>
        </w:rPr>
        <w:t>Mich. J.</w:t>
      </w:r>
      <w:r w:rsidRPr="57283B4A" w:rsidR="00F07E61">
        <w:rPr>
          <w:rFonts w:ascii="Times New Roman" w:hAnsi="Times New Roman" w:cs="Times New Roman"/>
          <w:smallCaps w:val="1"/>
          <w:sz w:val="26"/>
          <w:szCs w:val="26"/>
        </w:rPr>
        <w:t xml:space="preserve"> Race &amp; L.</w:t>
      </w:r>
      <w:r w:rsidRPr="57283B4A" w:rsidR="00F07E61">
        <w:rPr>
          <w:rFonts w:ascii="Times New Roman" w:hAnsi="Times New Roman" w:cs="Times New Roman"/>
          <w:sz w:val="26"/>
          <w:szCs w:val="26"/>
        </w:rPr>
        <w:t xml:space="preserve"> 375</w:t>
      </w:r>
      <w:r w:rsidRPr="57283B4A" w:rsidR="003D5FB4">
        <w:rPr>
          <w:rFonts w:ascii="Times New Roman" w:hAnsi="Times New Roman" w:cs="Times New Roman"/>
          <w:sz w:val="26"/>
          <w:szCs w:val="26"/>
        </w:rPr>
        <w:t xml:space="preserve">, </w:t>
      </w:r>
      <w:r w:rsidRPr="57283B4A" w:rsidR="007A5693">
        <w:rPr>
          <w:rFonts w:ascii="Times New Roman" w:hAnsi="Times New Roman" w:cs="Times New Roman"/>
          <w:sz w:val="26"/>
          <w:szCs w:val="26"/>
        </w:rPr>
        <w:t>390–</w:t>
      </w:r>
      <w:r w:rsidRPr="57283B4A" w:rsidR="00995CC5">
        <w:rPr>
          <w:rFonts w:ascii="Times New Roman" w:hAnsi="Times New Roman" w:cs="Times New Roman"/>
          <w:sz w:val="26"/>
          <w:szCs w:val="26"/>
        </w:rPr>
        <w:t>93</w:t>
      </w:r>
      <w:r w:rsidRPr="57283B4A" w:rsidR="0099635E">
        <w:rPr>
          <w:rFonts w:ascii="Times New Roman" w:hAnsi="Times New Roman" w:cs="Times New Roman"/>
          <w:sz w:val="26"/>
          <w:szCs w:val="26"/>
        </w:rPr>
        <w:t xml:space="preserve"> </w:t>
      </w:r>
      <w:r w:rsidRPr="57283B4A" w:rsidR="00F74D49">
        <w:rPr>
          <w:rFonts w:ascii="Times New Roman" w:hAnsi="Times New Roman" w:cs="Times New Roman"/>
          <w:sz w:val="26"/>
          <w:szCs w:val="26"/>
        </w:rPr>
        <w:t>(</w:t>
      </w:r>
      <w:r w:rsidRPr="57283B4A" w:rsidR="00F07E61">
        <w:rPr>
          <w:rFonts w:ascii="Times New Roman" w:hAnsi="Times New Roman" w:cs="Times New Roman"/>
          <w:sz w:val="26"/>
          <w:szCs w:val="26"/>
        </w:rPr>
        <w:t>2022</w:t>
      </w:r>
      <w:r w:rsidRPr="57283B4A" w:rsidR="00F74D49">
        <w:rPr>
          <w:rFonts w:ascii="Times New Roman" w:hAnsi="Times New Roman" w:cs="Times New Roman"/>
          <w:sz w:val="26"/>
          <w:szCs w:val="26"/>
        </w:rPr>
        <w:t>)</w:t>
      </w:r>
      <w:r w:rsidRPr="57283B4A" w:rsidR="003D5FB4">
        <w:rPr>
          <w:rFonts w:ascii="Times New Roman" w:hAnsi="Times New Roman" w:cs="Times New Roman"/>
          <w:sz w:val="26"/>
          <w:szCs w:val="26"/>
        </w:rPr>
        <w:t xml:space="preserve"> (discussing </w:t>
      </w:r>
      <w:r w:rsidRPr="57283B4A" w:rsidR="00995CC5">
        <w:rPr>
          <w:rFonts w:ascii="Times New Roman" w:hAnsi="Times New Roman" w:cs="Times New Roman"/>
          <w:sz w:val="26"/>
          <w:szCs w:val="26"/>
        </w:rPr>
        <w:t>how the transfer process interferes with attorney-client relationships</w:t>
      </w:r>
      <w:r w:rsidRPr="57283B4A" w:rsidR="003D5FB4">
        <w:rPr>
          <w:rFonts w:ascii="Times New Roman" w:hAnsi="Times New Roman" w:cs="Times New Roman"/>
          <w:sz w:val="26"/>
          <w:szCs w:val="26"/>
        </w:rPr>
        <w:t>)</w:t>
      </w:r>
      <w:r w:rsidRPr="57283B4A" w:rsidR="00F74D49">
        <w:rPr>
          <w:rFonts w:ascii="Times New Roman" w:hAnsi="Times New Roman" w:cs="Times New Roman"/>
          <w:sz w:val="26"/>
          <w:szCs w:val="26"/>
        </w:rPr>
        <w:t>.</w:t>
      </w:r>
      <w:r w:rsidRPr="57283B4A" w:rsidR="00301D6A">
        <w:rPr>
          <w:rFonts w:ascii="Times New Roman" w:hAnsi="Times New Roman" w:cs="Times New Roman"/>
          <w:sz w:val="26"/>
          <w:szCs w:val="26"/>
        </w:rPr>
        <w:t xml:space="preserve"> Transfer would erect unnecessary barriers to accessing counsel and would hinder Petitioner from participating in the ongoing habeas proceedings.</w:t>
      </w:r>
    </w:p>
    <w:p w:rsidRPr="006A0C0C" w:rsidR="001811EA" w:rsidP="57283B4A" w:rsidRDefault="001811EA" w14:paraId="484D2E25" w14:textId="4491029E">
      <w:pPr>
        <w:spacing w:after="0" w:line="480" w:lineRule="auto"/>
        <w:ind w:firstLine="720"/>
        <w:jc w:val="both"/>
        <w:rPr>
          <w:rFonts w:ascii="Times New Roman" w:hAnsi="Times New Roman" w:cs="Times New Roman"/>
          <w:sz w:val="26"/>
          <w:szCs w:val="26"/>
        </w:rPr>
      </w:pPr>
      <w:r w:rsidRPr="57283B4A" w:rsidR="001811EA">
        <w:rPr>
          <w:rFonts w:ascii="Times New Roman" w:hAnsi="Times New Roman" w:cs="Times New Roman"/>
          <w:sz w:val="26"/>
          <w:szCs w:val="26"/>
        </w:rPr>
        <w:t>Accordingly, this Court should guard against any attempt</w:t>
      </w:r>
      <w:r w:rsidRPr="57283B4A" w:rsidR="00497813">
        <w:rPr>
          <w:rFonts w:ascii="Times New Roman" w:hAnsi="Times New Roman" w:cs="Times New Roman"/>
          <w:sz w:val="26"/>
          <w:szCs w:val="26"/>
        </w:rPr>
        <w:t xml:space="preserve"> by Respondents</w:t>
      </w:r>
      <w:r w:rsidRPr="57283B4A" w:rsidR="001811EA">
        <w:rPr>
          <w:rFonts w:ascii="Times New Roman" w:hAnsi="Times New Roman" w:cs="Times New Roman"/>
          <w:sz w:val="26"/>
          <w:szCs w:val="26"/>
        </w:rPr>
        <w:t xml:space="preserve"> to</w:t>
      </w:r>
      <w:r w:rsidRPr="57283B4A" w:rsidR="00497813">
        <w:rPr>
          <w:rFonts w:ascii="Times New Roman" w:hAnsi="Times New Roman" w:cs="Times New Roman"/>
          <w:sz w:val="26"/>
          <w:szCs w:val="26"/>
        </w:rPr>
        <w:t xml:space="preserve"> transfer</w:t>
      </w:r>
      <w:r w:rsidRPr="57283B4A" w:rsidR="001811EA">
        <w:rPr>
          <w:rFonts w:ascii="Times New Roman" w:hAnsi="Times New Roman" w:cs="Times New Roman"/>
          <w:sz w:val="26"/>
          <w:szCs w:val="26"/>
        </w:rPr>
        <w:t xml:space="preserve"> Petitioner out of this judicial district</w:t>
      </w:r>
      <w:r w:rsidRPr="57283B4A" w:rsidR="00FF0D4C">
        <w:rPr>
          <w:rFonts w:ascii="Times New Roman" w:hAnsi="Times New Roman" w:cs="Times New Roman"/>
          <w:sz w:val="26"/>
          <w:szCs w:val="26"/>
        </w:rPr>
        <w:t xml:space="preserve">, to safeguard Petitioner’s access to counsel and to protect this Court’s ability to </w:t>
      </w:r>
      <w:r w:rsidRPr="57283B4A" w:rsidR="00497813">
        <w:rPr>
          <w:rFonts w:ascii="Times New Roman" w:hAnsi="Times New Roman" w:cs="Times New Roman"/>
          <w:sz w:val="26"/>
          <w:szCs w:val="26"/>
        </w:rPr>
        <w:t xml:space="preserve">fully and </w:t>
      </w:r>
      <w:r w:rsidRPr="57283B4A" w:rsidR="00FF0D4C">
        <w:rPr>
          <w:rFonts w:ascii="Times New Roman" w:hAnsi="Times New Roman" w:cs="Times New Roman"/>
          <w:sz w:val="26"/>
          <w:szCs w:val="26"/>
        </w:rPr>
        <w:t>timely adjudicate the pending habeas petition.</w:t>
      </w:r>
    </w:p>
    <w:p w:rsidR="006A0C0C" w:rsidP="57283B4A" w:rsidRDefault="00C63FDB" w14:paraId="2E34595F" w14:textId="79FDB9B7">
      <w:pPr>
        <w:pStyle w:val="ListParagraph"/>
        <w:numPr>
          <w:ilvl w:val="1"/>
          <w:numId w:val="4"/>
        </w:numPr>
        <w:spacing w:after="0" w:line="240" w:lineRule="auto"/>
        <w:contextualSpacing w:val="0"/>
        <w:rPr>
          <w:rFonts w:ascii="Times New Roman" w:hAnsi="Times New Roman" w:cs="Times New Roman"/>
          <w:b w:val="1"/>
          <w:bCs w:val="1"/>
          <w:sz w:val="26"/>
          <w:szCs w:val="26"/>
        </w:rPr>
      </w:pPr>
      <w:r w:rsidRPr="57283B4A" w:rsidR="00C63FDB">
        <w:rPr>
          <w:rFonts w:ascii="Times New Roman" w:hAnsi="Times New Roman" w:cs="Times New Roman"/>
          <w:b w:val="1"/>
          <w:bCs w:val="1"/>
          <w:sz w:val="26"/>
          <w:szCs w:val="26"/>
        </w:rPr>
        <w:t>This Court should exercise its equitable power u</w:t>
      </w:r>
      <w:r w:rsidRPr="57283B4A" w:rsidR="00830ADB">
        <w:rPr>
          <w:rFonts w:ascii="Times New Roman" w:hAnsi="Times New Roman" w:cs="Times New Roman"/>
          <w:b w:val="1"/>
          <w:bCs w:val="1"/>
          <w:sz w:val="26"/>
          <w:szCs w:val="26"/>
        </w:rPr>
        <w:t xml:space="preserve">nder the </w:t>
      </w:r>
      <w:r w:rsidRPr="57283B4A" w:rsidR="00830ADB">
        <w:rPr>
          <w:rFonts w:ascii="Times New Roman" w:hAnsi="Times New Roman" w:cs="Times New Roman"/>
          <w:b w:val="1"/>
          <w:bCs w:val="1"/>
          <w:sz w:val="26"/>
          <w:szCs w:val="26"/>
        </w:rPr>
        <w:t>All Writs</w:t>
      </w:r>
      <w:r w:rsidRPr="57283B4A" w:rsidR="00830ADB">
        <w:rPr>
          <w:rFonts w:ascii="Times New Roman" w:hAnsi="Times New Roman" w:cs="Times New Roman"/>
          <w:b w:val="1"/>
          <w:bCs w:val="1"/>
          <w:sz w:val="26"/>
          <w:szCs w:val="26"/>
        </w:rPr>
        <w:t xml:space="preserve"> Act and this Court’s inherent authority</w:t>
      </w:r>
      <w:r w:rsidRPr="57283B4A" w:rsidR="00C63FDB">
        <w:rPr>
          <w:rFonts w:ascii="Times New Roman" w:hAnsi="Times New Roman" w:cs="Times New Roman"/>
          <w:b w:val="1"/>
          <w:bCs w:val="1"/>
          <w:sz w:val="26"/>
          <w:szCs w:val="26"/>
        </w:rPr>
        <w:t xml:space="preserve"> to enjoin the transfer of Petitioner from this judicial district</w:t>
      </w:r>
      <w:r w:rsidRPr="57283B4A" w:rsidR="00830ADB">
        <w:rPr>
          <w:rFonts w:ascii="Times New Roman" w:hAnsi="Times New Roman" w:cs="Times New Roman"/>
          <w:b w:val="1"/>
          <w:bCs w:val="1"/>
          <w:sz w:val="26"/>
          <w:szCs w:val="26"/>
        </w:rPr>
        <w:t>.</w:t>
      </w:r>
    </w:p>
    <w:p w:rsidRPr="00830ADB" w:rsidR="00830ADB" w:rsidP="57283B4A" w:rsidRDefault="00830ADB" w14:paraId="11F50364" w14:textId="77777777">
      <w:pPr>
        <w:spacing w:after="0" w:line="240" w:lineRule="auto"/>
        <w:rPr>
          <w:rFonts w:ascii="Times New Roman" w:hAnsi="Times New Roman" w:cs="Times New Roman"/>
          <w:b w:val="1"/>
          <w:bCs w:val="1"/>
          <w:sz w:val="26"/>
          <w:szCs w:val="26"/>
        </w:rPr>
      </w:pPr>
    </w:p>
    <w:p w:rsidR="00EE08F7" w:rsidP="57283B4A" w:rsidRDefault="00EE08F7" w14:paraId="3D5A0023" w14:textId="57B58A75">
      <w:pPr>
        <w:spacing w:after="0" w:line="480" w:lineRule="auto"/>
        <w:ind w:firstLine="720"/>
        <w:jc w:val="both"/>
        <w:rPr>
          <w:rFonts w:ascii="Times New Roman" w:hAnsi="Times New Roman" w:cs="Times New Roman"/>
          <w:sz w:val="26"/>
          <w:szCs w:val="26"/>
        </w:rPr>
      </w:pPr>
      <w:r w:rsidRPr="57283B4A" w:rsidR="00EE08F7">
        <w:rPr>
          <w:rFonts w:ascii="Times New Roman" w:hAnsi="Times New Roman" w:cs="Times New Roman"/>
          <w:sz w:val="26"/>
          <w:szCs w:val="26"/>
        </w:rPr>
        <w:t xml:space="preserve">The Court has ample power conferred to it by the </w:t>
      </w:r>
      <w:r w:rsidRPr="57283B4A" w:rsidR="00EE08F7">
        <w:rPr>
          <w:rFonts w:ascii="Times New Roman" w:hAnsi="Times New Roman" w:cs="Times New Roman"/>
          <w:sz w:val="26"/>
          <w:szCs w:val="26"/>
        </w:rPr>
        <w:t>All Writs</w:t>
      </w:r>
      <w:r w:rsidRPr="57283B4A" w:rsidR="00EE08F7">
        <w:rPr>
          <w:rFonts w:ascii="Times New Roman" w:hAnsi="Times New Roman" w:cs="Times New Roman"/>
          <w:sz w:val="26"/>
          <w:szCs w:val="26"/>
        </w:rPr>
        <w:t xml:space="preserve"> Act, as well as under the Court’s inherent equitable power, to issue a modest injunction preventing any transfer of Petitioner</w:t>
      </w:r>
      <w:r w:rsidRPr="57283B4A" w:rsidR="00E214E8">
        <w:rPr>
          <w:rFonts w:ascii="Times New Roman" w:hAnsi="Times New Roman" w:cs="Times New Roman"/>
          <w:sz w:val="26"/>
          <w:szCs w:val="26"/>
        </w:rPr>
        <w:t xml:space="preserve"> outside this judicial district</w:t>
      </w:r>
      <w:r w:rsidRPr="57283B4A" w:rsidR="00EE08F7">
        <w:rPr>
          <w:rFonts w:ascii="Times New Roman" w:hAnsi="Times New Roman" w:cs="Times New Roman"/>
          <w:sz w:val="26"/>
          <w:szCs w:val="26"/>
        </w:rPr>
        <w:t>.</w:t>
      </w:r>
      <w:r w:rsidRPr="57283B4A" w:rsidR="006451FD">
        <w:rPr>
          <w:rFonts w:ascii="Times New Roman" w:hAnsi="Times New Roman" w:cs="Times New Roman"/>
          <w:sz w:val="26"/>
          <w:szCs w:val="26"/>
        </w:rPr>
        <w:t xml:space="preserve"> In issuing the injunction, the Court need not evaluate questions regarding the likelihood of success of Petitioner’s substantive claims for relief in habeas or Petitioner’s irreparable harm.</w:t>
      </w:r>
      <w:r w:rsidRPr="57283B4A" w:rsidR="00421E4E">
        <w:rPr>
          <w:rFonts w:ascii="Times New Roman" w:hAnsi="Times New Roman" w:cs="Times New Roman"/>
          <w:sz w:val="26"/>
          <w:szCs w:val="26"/>
        </w:rPr>
        <w:t xml:space="preserve"> </w:t>
      </w:r>
      <w:r w:rsidRPr="57283B4A" w:rsidR="00421E4E">
        <w:rPr>
          <w:rFonts w:ascii="Times New Roman" w:hAnsi="Times New Roman" w:cs="Times New Roman"/>
          <w:i w:val="1"/>
          <w:iCs w:val="1"/>
          <w:sz w:val="26"/>
          <w:szCs w:val="26"/>
        </w:rPr>
        <w:t>See Arostegui-Maldonado v. Baltazar</w:t>
      </w:r>
      <w:r w:rsidRPr="57283B4A" w:rsidR="00421E4E">
        <w:rPr>
          <w:rFonts w:ascii="Times New Roman" w:hAnsi="Times New Roman" w:cs="Times New Roman"/>
          <w:sz w:val="26"/>
          <w:szCs w:val="26"/>
        </w:rPr>
        <w:t xml:space="preserve">, 794 F. Supp. 3d 926, </w:t>
      </w:r>
      <w:r w:rsidRPr="57283B4A" w:rsidR="00274904">
        <w:rPr>
          <w:rFonts w:ascii="Times New Roman" w:hAnsi="Times New Roman" w:cs="Times New Roman"/>
          <w:sz w:val="26"/>
          <w:szCs w:val="26"/>
        </w:rPr>
        <w:t>945</w:t>
      </w:r>
      <w:r w:rsidRPr="57283B4A" w:rsidR="00421E4E">
        <w:rPr>
          <w:rFonts w:ascii="Times New Roman" w:hAnsi="Times New Roman" w:cs="Times New Roman"/>
          <w:sz w:val="26"/>
          <w:szCs w:val="26"/>
        </w:rPr>
        <w:t xml:space="preserve"> (D. Colo. 2025) (</w:t>
      </w:r>
      <w:r w:rsidRPr="57283B4A" w:rsidR="00E51810">
        <w:rPr>
          <w:rFonts w:ascii="Times New Roman" w:hAnsi="Times New Roman" w:cs="Times New Roman"/>
          <w:sz w:val="26"/>
          <w:szCs w:val="26"/>
        </w:rPr>
        <w:t xml:space="preserve">“[A]s courts often do when invoking their authority to enter injunctive relief under the </w:t>
      </w:r>
      <w:r w:rsidRPr="57283B4A" w:rsidR="00E51810">
        <w:rPr>
          <w:rFonts w:ascii="Times New Roman" w:hAnsi="Times New Roman" w:cs="Times New Roman"/>
          <w:sz w:val="26"/>
          <w:szCs w:val="26"/>
        </w:rPr>
        <w:t>All Writs</w:t>
      </w:r>
      <w:r w:rsidRPr="57283B4A" w:rsidR="00E51810">
        <w:rPr>
          <w:rFonts w:ascii="Times New Roman" w:hAnsi="Times New Roman" w:cs="Times New Roman"/>
          <w:sz w:val="26"/>
          <w:szCs w:val="26"/>
        </w:rPr>
        <w:t xml:space="preserve"> </w:t>
      </w:r>
      <w:r w:rsidRPr="57283B4A" w:rsidR="00E51810">
        <w:rPr>
          <w:rFonts w:ascii="Times New Roman" w:hAnsi="Times New Roman" w:cs="Times New Roman"/>
          <w:sz w:val="26"/>
          <w:szCs w:val="26"/>
        </w:rPr>
        <w:t>Act, the Court will forego the traditional four-factor preliminary injunction analysis.”</w:t>
      </w:r>
      <w:r w:rsidRPr="57283B4A" w:rsidR="00421E4E">
        <w:rPr>
          <w:rFonts w:ascii="Times New Roman" w:hAnsi="Times New Roman" w:cs="Times New Roman"/>
          <w:sz w:val="26"/>
          <w:szCs w:val="26"/>
        </w:rPr>
        <w:t xml:space="preserve">). </w:t>
      </w:r>
      <w:r w:rsidRPr="57283B4A" w:rsidR="002C0A3E">
        <w:rPr>
          <w:rFonts w:ascii="Times New Roman" w:hAnsi="Times New Roman" w:cs="Times New Roman"/>
          <w:sz w:val="26"/>
          <w:szCs w:val="26"/>
        </w:rPr>
        <w:t xml:space="preserve">Instead, the Court can </w:t>
      </w:r>
      <w:r w:rsidRPr="57283B4A" w:rsidR="004A0F68">
        <w:rPr>
          <w:rFonts w:ascii="Times New Roman" w:hAnsi="Times New Roman" w:cs="Times New Roman"/>
          <w:sz w:val="26"/>
          <w:szCs w:val="26"/>
        </w:rPr>
        <w:t>enjoin transfer simply</w:t>
      </w:r>
      <w:r w:rsidRPr="57283B4A" w:rsidR="002C0A3E">
        <w:rPr>
          <w:rFonts w:ascii="Times New Roman" w:hAnsi="Times New Roman" w:cs="Times New Roman"/>
          <w:sz w:val="26"/>
          <w:szCs w:val="26"/>
        </w:rPr>
        <w:t xml:space="preserve"> to ensure the integrity of ongoing judicial proceedings. </w:t>
      </w:r>
      <w:r w:rsidRPr="57283B4A" w:rsidR="00571F0C">
        <w:rPr>
          <w:rFonts w:ascii="Times New Roman" w:hAnsi="Times New Roman" w:cs="Times New Roman"/>
          <w:sz w:val="26"/>
          <w:szCs w:val="26"/>
        </w:rPr>
        <w:t>S</w:t>
      </w:r>
      <w:r w:rsidRPr="57283B4A" w:rsidR="002C0A3E">
        <w:rPr>
          <w:rFonts w:ascii="Times New Roman" w:hAnsi="Times New Roman" w:cs="Times New Roman"/>
          <w:sz w:val="26"/>
          <w:szCs w:val="26"/>
        </w:rPr>
        <w:t>uch an order</w:t>
      </w:r>
      <w:r w:rsidRPr="57283B4A" w:rsidR="00571F0C">
        <w:rPr>
          <w:rFonts w:ascii="Times New Roman" w:hAnsi="Times New Roman" w:cs="Times New Roman"/>
          <w:sz w:val="26"/>
          <w:szCs w:val="26"/>
        </w:rPr>
        <w:t xml:space="preserve"> preserves the status quo and thus</w:t>
      </w:r>
      <w:r w:rsidRPr="57283B4A" w:rsidR="002C0A3E">
        <w:rPr>
          <w:rFonts w:ascii="Times New Roman" w:hAnsi="Times New Roman" w:cs="Times New Roman"/>
          <w:sz w:val="26"/>
          <w:szCs w:val="26"/>
        </w:rPr>
        <w:t xml:space="preserve"> will impose no burden on Respondents.</w:t>
      </w:r>
    </w:p>
    <w:p w:rsidRPr="00354155" w:rsidR="00D97084" w:rsidP="57283B4A" w:rsidRDefault="00552B7A" w14:paraId="61BAABD5" w14:textId="43E0461D">
      <w:pPr>
        <w:spacing w:after="0" w:line="480" w:lineRule="auto"/>
        <w:ind w:firstLine="720"/>
        <w:jc w:val="both"/>
        <w:rPr>
          <w:rFonts w:ascii="Times New Roman" w:hAnsi="Times New Roman" w:cs="Times New Roman"/>
          <w:sz w:val="26"/>
          <w:szCs w:val="26"/>
        </w:rPr>
      </w:pPr>
      <w:r w:rsidRPr="57283B4A" w:rsidR="00552B7A">
        <w:rPr>
          <w:rFonts w:ascii="Times New Roman" w:hAnsi="Times New Roman" w:cs="Times New Roman"/>
          <w:sz w:val="26"/>
          <w:szCs w:val="26"/>
        </w:rPr>
        <w:t xml:space="preserve">There is a measure of disagreement among courts, including in this Circuit, as to whether, in this context, a habeas petitioner’s transfer outside of the original district of confinement destroys the </w:t>
      </w:r>
      <w:r w:rsidRPr="57283B4A" w:rsidR="007A0F09">
        <w:rPr>
          <w:rFonts w:ascii="Times New Roman" w:hAnsi="Times New Roman" w:cs="Times New Roman"/>
          <w:sz w:val="26"/>
          <w:szCs w:val="26"/>
        </w:rPr>
        <w:t xml:space="preserve">original district’s jurisdiction. </w:t>
      </w:r>
      <w:r w:rsidRPr="57283B4A" w:rsidR="007A0F09">
        <w:rPr>
          <w:rFonts w:ascii="Times New Roman" w:hAnsi="Times New Roman" w:cs="Times New Roman"/>
          <w:i w:val="1"/>
          <w:iCs w:val="1"/>
          <w:sz w:val="26"/>
          <w:szCs w:val="26"/>
        </w:rPr>
        <w:t>See Melchor-Rios v. Ortiz</w:t>
      </w:r>
      <w:r w:rsidRPr="57283B4A" w:rsidR="007A0F09">
        <w:rPr>
          <w:rFonts w:ascii="Times New Roman" w:hAnsi="Times New Roman" w:cs="Times New Roman"/>
          <w:sz w:val="26"/>
          <w:szCs w:val="26"/>
        </w:rPr>
        <w:t xml:space="preserve">, No. </w:t>
      </w:r>
      <w:r w:rsidRPr="57283B4A" w:rsidR="00BE698E">
        <w:rPr>
          <w:rFonts w:ascii="Times New Roman" w:hAnsi="Times New Roman" w:cs="Times New Roman"/>
          <w:sz w:val="26"/>
          <w:szCs w:val="26"/>
        </w:rPr>
        <w:t>2:25-cv-01055-WJ-GJF</w:t>
      </w:r>
      <w:r w:rsidRPr="57283B4A" w:rsidR="007A0F09">
        <w:rPr>
          <w:rFonts w:ascii="Times New Roman" w:hAnsi="Times New Roman" w:cs="Times New Roman"/>
          <w:sz w:val="26"/>
          <w:szCs w:val="26"/>
        </w:rPr>
        <w:t>, 2025 WL 3764775, at *</w:t>
      </w:r>
      <w:r w:rsidRPr="57283B4A" w:rsidR="00BE698E">
        <w:rPr>
          <w:rFonts w:ascii="Times New Roman" w:hAnsi="Times New Roman" w:cs="Times New Roman"/>
          <w:sz w:val="26"/>
          <w:szCs w:val="26"/>
        </w:rPr>
        <w:t>3</w:t>
      </w:r>
      <w:r w:rsidRPr="57283B4A" w:rsidR="007A0F09">
        <w:rPr>
          <w:rFonts w:ascii="Times New Roman" w:hAnsi="Times New Roman" w:cs="Times New Roman"/>
          <w:sz w:val="26"/>
          <w:szCs w:val="26"/>
        </w:rPr>
        <w:t xml:space="preserve"> (Dec. 30, 2025) (</w:t>
      </w:r>
      <w:r w:rsidRPr="57283B4A" w:rsidR="001642F7">
        <w:rPr>
          <w:rFonts w:ascii="Times New Roman" w:hAnsi="Times New Roman" w:cs="Times New Roman"/>
          <w:sz w:val="26"/>
          <w:szCs w:val="26"/>
        </w:rPr>
        <w:t>collecting cases</w:t>
      </w:r>
      <w:r w:rsidRPr="57283B4A" w:rsidR="007A0F09">
        <w:rPr>
          <w:rFonts w:ascii="Times New Roman" w:hAnsi="Times New Roman" w:cs="Times New Roman"/>
          <w:sz w:val="26"/>
          <w:szCs w:val="26"/>
        </w:rPr>
        <w:t>).</w:t>
      </w:r>
      <w:r w:rsidRPr="57283B4A" w:rsidR="00685EE9">
        <w:rPr>
          <w:rFonts w:ascii="Times New Roman" w:hAnsi="Times New Roman" w:cs="Times New Roman"/>
          <w:sz w:val="26"/>
          <w:szCs w:val="26"/>
        </w:rPr>
        <w:t xml:space="preserve"> That a</w:t>
      </w:r>
      <w:r w:rsidRPr="57283B4A" w:rsidR="00354155">
        <w:rPr>
          <w:rFonts w:ascii="Times New Roman" w:hAnsi="Times New Roman" w:cs="Times New Roman"/>
          <w:sz w:val="26"/>
          <w:szCs w:val="26"/>
        </w:rPr>
        <w:t>lone should suffice as a</w:t>
      </w:r>
      <w:r w:rsidRPr="57283B4A" w:rsidR="008967BA">
        <w:rPr>
          <w:rFonts w:ascii="Times New Roman" w:hAnsi="Times New Roman" w:cs="Times New Roman"/>
          <w:sz w:val="26"/>
          <w:szCs w:val="26"/>
        </w:rPr>
        <w:t>n independent</w:t>
      </w:r>
      <w:r w:rsidRPr="57283B4A" w:rsidR="00354155">
        <w:rPr>
          <w:rFonts w:ascii="Times New Roman" w:hAnsi="Times New Roman" w:cs="Times New Roman"/>
          <w:sz w:val="26"/>
          <w:szCs w:val="26"/>
        </w:rPr>
        <w:t xml:space="preserve"> basis for granting the instant Motion, to ensure that this Court retains jurisdiction over the pending habeas proceedings. </w:t>
      </w:r>
      <w:r w:rsidRPr="57283B4A" w:rsidR="00354155">
        <w:rPr>
          <w:rFonts w:ascii="Times New Roman" w:hAnsi="Times New Roman" w:cs="Times New Roman"/>
          <w:i w:val="1"/>
          <w:iCs w:val="1"/>
          <w:sz w:val="26"/>
          <w:szCs w:val="26"/>
        </w:rPr>
        <w:t>See id.</w:t>
      </w:r>
      <w:r w:rsidRPr="57283B4A" w:rsidR="00354155">
        <w:rPr>
          <w:rFonts w:ascii="Times New Roman" w:hAnsi="Times New Roman" w:cs="Times New Roman"/>
          <w:sz w:val="26"/>
          <w:szCs w:val="26"/>
        </w:rPr>
        <w:t xml:space="preserve"> at *</w:t>
      </w:r>
      <w:r w:rsidRPr="57283B4A" w:rsidR="00626BE8">
        <w:rPr>
          <w:rFonts w:ascii="Times New Roman" w:hAnsi="Times New Roman" w:cs="Times New Roman"/>
          <w:sz w:val="26"/>
          <w:szCs w:val="26"/>
        </w:rPr>
        <w:t xml:space="preserve">4 (determining that it is a proper exercise of the </w:t>
      </w:r>
      <w:r w:rsidRPr="57283B4A" w:rsidR="00630446">
        <w:rPr>
          <w:rFonts w:ascii="Times New Roman" w:hAnsi="Times New Roman" w:cs="Times New Roman"/>
          <w:sz w:val="26"/>
          <w:szCs w:val="26"/>
        </w:rPr>
        <w:t>Court’s authority to enter an order enjoining petitioner’s transfer in order to preserve the Court’s habeas jurisdiction)</w:t>
      </w:r>
      <w:r w:rsidRPr="57283B4A" w:rsidR="005D2D39">
        <w:rPr>
          <w:rFonts w:ascii="Times New Roman" w:hAnsi="Times New Roman" w:cs="Times New Roman"/>
          <w:sz w:val="26"/>
          <w:szCs w:val="26"/>
        </w:rPr>
        <w:t xml:space="preserve">; </w:t>
      </w:r>
      <w:r w:rsidRPr="57283B4A" w:rsidR="005D2D39">
        <w:rPr>
          <w:rFonts w:ascii="Times New Roman" w:hAnsi="Times New Roman" w:cs="Times New Roman"/>
          <w:i w:val="1"/>
          <w:iCs w:val="1"/>
          <w:sz w:val="26"/>
          <w:szCs w:val="26"/>
        </w:rPr>
        <w:t>Castillo v. Andra-Ybarra</w:t>
      </w:r>
      <w:r w:rsidRPr="57283B4A" w:rsidR="005D2D39">
        <w:rPr>
          <w:rFonts w:ascii="Times New Roman" w:hAnsi="Times New Roman" w:cs="Times New Roman"/>
          <w:sz w:val="26"/>
          <w:szCs w:val="26"/>
        </w:rPr>
        <w:t xml:space="preserve">, No. </w:t>
      </w:r>
      <w:r w:rsidRPr="57283B4A" w:rsidR="00CC6E49">
        <w:rPr>
          <w:rFonts w:ascii="Times New Roman" w:hAnsi="Times New Roman" w:cs="Times New Roman"/>
          <w:sz w:val="26"/>
          <w:szCs w:val="26"/>
        </w:rPr>
        <w:t>CIV 25-1074 JB/JFR</w:t>
      </w:r>
      <w:r w:rsidRPr="57283B4A" w:rsidR="005D2D39">
        <w:rPr>
          <w:rFonts w:ascii="Times New Roman" w:hAnsi="Times New Roman" w:cs="Times New Roman"/>
          <w:sz w:val="26"/>
          <w:szCs w:val="26"/>
        </w:rPr>
        <w:t xml:space="preserve">, </w:t>
      </w:r>
      <w:r w:rsidRPr="57283B4A" w:rsidR="00CC6E49">
        <w:rPr>
          <w:rFonts w:ascii="Times New Roman" w:hAnsi="Times New Roman" w:cs="Times New Roman"/>
          <w:sz w:val="26"/>
          <w:szCs w:val="26"/>
        </w:rPr>
        <w:t>2026 WL 370497</w:t>
      </w:r>
      <w:r w:rsidRPr="57283B4A" w:rsidR="005D2D39">
        <w:rPr>
          <w:rFonts w:ascii="Times New Roman" w:hAnsi="Times New Roman" w:cs="Times New Roman"/>
          <w:sz w:val="26"/>
          <w:szCs w:val="26"/>
        </w:rPr>
        <w:t>, at *</w:t>
      </w:r>
      <w:r w:rsidRPr="57283B4A" w:rsidR="00CC6E49">
        <w:rPr>
          <w:rFonts w:ascii="Times New Roman" w:hAnsi="Times New Roman" w:cs="Times New Roman"/>
          <w:sz w:val="26"/>
          <w:szCs w:val="26"/>
        </w:rPr>
        <w:t>44</w:t>
      </w:r>
      <w:r w:rsidRPr="57283B4A" w:rsidR="005D2D39">
        <w:rPr>
          <w:rFonts w:ascii="Times New Roman" w:hAnsi="Times New Roman" w:cs="Times New Roman"/>
          <w:sz w:val="26"/>
          <w:szCs w:val="26"/>
        </w:rPr>
        <w:t xml:space="preserve"> (D.N.M. </w:t>
      </w:r>
      <w:r w:rsidRPr="57283B4A" w:rsidR="00CC6E49">
        <w:rPr>
          <w:rFonts w:ascii="Times New Roman" w:hAnsi="Times New Roman" w:cs="Times New Roman"/>
          <w:sz w:val="26"/>
          <w:szCs w:val="26"/>
        </w:rPr>
        <w:t>Feb. 10, 2026</w:t>
      </w:r>
      <w:r w:rsidRPr="57283B4A" w:rsidR="005D2D39">
        <w:rPr>
          <w:rFonts w:ascii="Times New Roman" w:hAnsi="Times New Roman" w:cs="Times New Roman"/>
          <w:sz w:val="26"/>
          <w:szCs w:val="26"/>
        </w:rPr>
        <w:t>) (prohibiting Respondents from transferring petitioner</w:t>
      </w:r>
      <w:r w:rsidRPr="57283B4A" w:rsidR="00222D54">
        <w:rPr>
          <w:rFonts w:ascii="Times New Roman" w:hAnsi="Times New Roman" w:cs="Times New Roman"/>
          <w:sz w:val="26"/>
          <w:szCs w:val="26"/>
        </w:rPr>
        <w:t>s</w:t>
      </w:r>
      <w:r w:rsidRPr="57283B4A" w:rsidR="005D2D39">
        <w:rPr>
          <w:rFonts w:ascii="Times New Roman" w:hAnsi="Times New Roman" w:cs="Times New Roman"/>
          <w:sz w:val="26"/>
          <w:szCs w:val="26"/>
        </w:rPr>
        <w:t xml:space="preserve"> outside district </w:t>
      </w:r>
      <w:r w:rsidRPr="57283B4A" w:rsidR="00061F72">
        <w:rPr>
          <w:rFonts w:ascii="Times New Roman" w:hAnsi="Times New Roman" w:cs="Times New Roman"/>
          <w:sz w:val="26"/>
          <w:szCs w:val="26"/>
        </w:rPr>
        <w:t xml:space="preserve">during </w:t>
      </w:r>
      <w:r w:rsidRPr="57283B4A" w:rsidR="00756A46">
        <w:rPr>
          <w:rFonts w:ascii="Times New Roman" w:hAnsi="Times New Roman" w:cs="Times New Roman"/>
          <w:sz w:val="26"/>
          <w:szCs w:val="26"/>
        </w:rPr>
        <w:t xml:space="preserve">the </w:t>
      </w:r>
      <w:r w:rsidRPr="57283B4A" w:rsidR="00061F72">
        <w:rPr>
          <w:rFonts w:ascii="Times New Roman" w:hAnsi="Times New Roman" w:cs="Times New Roman"/>
          <w:sz w:val="26"/>
          <w:szCs w:val="26"/>
        </w:rPr>
        <w:t xml:space="preserve">pendency of habeas proceedings </w:t>
      </w:r>
      <w:r w:rsidRPr="57283B4A" w:rsidR="005D2D39">
        <w:rPr>
          <w:rFonts w:ascii="Times New Roman" w:hAnsi="Times New Roman" w:cs="Times New Roman"/>
          <w:sz w:val="26"/>
          <w:szCs w:val="26"/>
        </w:rPr>
        <w:t xml:space="preserve">pursuant to </w:t>
      </w:r>
      <w:r w:rsidRPr="57283B4A" w:rsidR="00756A46">
        <w:rPr>
          <w:rFonts w:ascii="Times New Roman" w:hAnsi="Times New Roman" w:cs="Times New Roman"/>
          <w:sz w:val="26"/>
          <w:szCs w:val="26"/>
        </w:rPr>
        <w:t xml:space="preserve">the </w:t>
      </w:r>
      <w:r w:rsidRPr="57283B4A" w:rsidR="005D2D39">
        <w:rPr>
          <w:rFonts w:ascii="Times New Roman" w:hAnsi="Times New Roman" w:cs="Times New Roman"/>
          <w:sz w:val="26"/>
          <w:szCs w:val="26"/>
        </w:rPr>
        <w:t>All Writs Act)</w:t>
      </w:r>
      <w:r w:rsidRPr="57283B4A" w:rsidR="00630446">
        <w:rPr>
          <w:rFonts w:ascii="Times New Roman" w:hAnsi="Times New Roman" w:cs="Times New Roman"/>
          <w:sz w:val="26"/>
          <w:szCs w:val="26"/>
        </w:rPr>
        <w:t>.</w:t>
      </w:r>
    </w:p>
    <w:p w:rsidRPr="007049FC" w:rsidR="00C63FDB" w:rsidP="57283B4A" w:rsidRDefault="006355D6" w14:paraId="6CEE9FFA" w14:textId="35B9C28F">
      <w:pPr>
        <w:spacing w:after="0" w:line="480" w:lineRule="auto"/>
        <w:ind w:firstLine="720"/>
        <w:jc w:val="both"/>
        <w:rPr>
          <w:rFonts w:ascii="Times New Roman" w:hAnsi="Times New Roman" w:cs="Times New Roman"/>
          <w:sz w:val="26"/>
          <w:szCs w:val="26"/>
        </w:rPr>
      </w:pPr>
      <w:r w:rsidRPr="57283B4A" w:rsidR="006355D6">
        <w:rPr>
          <w:rFonts w:ascii="Times New Roman" w:hAnsi="Times New Roman" w:cs="Times New Roman"/>
          <w:sz w:val="26"/>
          <w:szCs w:val="26"/>
        </w:rPr>
        <w:t xml:space="preserve">Courts have recognized that </w:t>
      </w:r>
      <w:r w:rsidRPr="57283B4A" w:rsidR="00E7741E">
        <w:rPr>
          <w:rFonts w:ascii="Times New Roman" w:hAnsi="Times New Roman" w:cs="Times New Roman"/>
          <w:sz w:val="26"/>
          <w:szCs w:val="26"/>
        </w:rPr>
        <w:t xml:space="preserve">several “significant and compelling reasons” support the issuance of </w:t>
      </w:r>
      <w:r w:rsidRPr="57283B4A" w:rsidR="006355D6">
        <w:rPr>
          <w:rFonts w:ascii="Times New Roman" w:hAnsi="Times New Roman" w:cs="Times New Roman"/>
          <w:sz w:val="26"/>
          <w:szCs w:val="26"/>
        </w:rPr>
        <w:t xml:space="preserve">injunctive relief maintaining the status quo </w:t>
      </w:r>
      <w:r w:rsidRPr="57283B4A" w:rsidR="00E7741E">
        <w:rPr>
          <w:rFonts w:ascii="Times New Roman" w:hAnsi="Times New Roman" w:cs="Times New Roman"/>
          <w:sz w:val="26"/>
          <w:szCs w:val="26"/>
        </w:rPr>
        <w:t>i</w:t>
      </w:r>
      <w:r w:rsidRPr="57283B4A" w:rsidR="006355D6">
        <w:rPr>
          <w:rFonts w:ascii="Times New Roman" w:hAnsi="Times New Roman" w:cs="Times New Roman"/>
          <w:sz w:val="26"/>
          <w:szCs w:val="26"/>
        </w:rPr>
        <w:t>n habeas cases.</w:t>
      </w:r>
      <w:r w:rsidRPr="57283B4A" w:rsidR="006540B4">
        <w:rPr>
          <w:rFonts w:ascii="Times New Roman" w:hAnsi="Times New Roman" w:cs="Times New Roman"/>
          <w:sz w:val="26"/>
          <w:szCs w:val="26"/>
        </w:rPr>
        <w:t xml:space="preserve"> </w:t>
      </w:r>
      <w:r w:rsidRPr="57283B4A" w:rsidR="006540B4">
        <w:rPr>
          <w:rFonts w:ascii="Times New Roman" w:hAnsi="Times New Roman" w:cs="Times New Roman"/>
          <w:i w:val="1"/>
          <w:iCs w:val="1"/>
          <w:sz w:val="26"/>
          <w:szCs w:val="26"/>
        </w:rPr>
        <w:t>See</w:t>
      </w:r>
      <w:r w:rsidRPr="57283B4A" w:rsidR="00695889">
        <w:rPr>
          <w:rFonts w:ascii="Times New Roman" w:hAnsi="Times New Roman" w:cs="Times New Roman"/>
          <w:i w:val="1"/>
          <w:iCs w:val="1"/>
          <w:sz w:val="26"/>
          <w:szCs w:val="26"/>
        </w:rPr>
        <w:t>, e.g.</w:t>
      </w:r>
      <w:r w:rsidRPr="57283B4A" w:rsidR="00695889">
        <w:rPr>
          <w:rFonts w:ascii="Times New Roman" w:hAnsi="Times New Roman" w:cs="Times New Roman"/>
          <w:sz w:val="26"/>
          <w:szCs w:val="26"/>
        </w:rPr>
        <w:t>,</w:t>
      </w:r>
      <w:r w:rsidRPr="57283B4A" w:rsidR="006540B4">
        <w:rPr>
          <w:rFonts w:ascii="Times New Roman" w:hAnsi="Times New Roman" w:cs="Times New Roman"/>
          <w:i w:val="1"/>
          <w:iCs w:val="1"/>
          <w:sz w:val="26"/>
          <w:szCs w:val="26"/>
        </w:rPr>
        <w:t xml:space="preserve"> Melchor-Rios</w:t>
      </w:r>
      <w:r w:rsidRPr="57283B4A" w:rsidR="006540B4">
        <w:rPr>
          <w:rFonts w:ascii="Times New Roman" w:hAnsi="Times New Roman" w:cs="Times New Roman"/>
          <w:sz w:val="26"/>
          <w:szCs w:val="26"/>
        </w:rPr>
        <w:t>, 2025 WL 3764775, at *4</w:t>
      </w:r>
      <w:r w:rsidRPr="57283B4A" w:rsidR="006F750E">
        <w:rPr>
          <w:rFonts w:ascii="Times New Roman" w:hAnsi="Times New Roman" w:cs="Times New Roman"/>
          <w:sz w:val="26"/>
          <w:szCs w:val="26"/>
        </w:rPr>
        <w:t xml:space="preserve"> (</w:t>
      </w:r>
      <w:r w:rsidRPr="57283B4A" w:rsidR="00CA6413">
        <w:rPr>
          <w:rFonts w:ascii="Times New Roman" w:hAnsi="Times New Roman" w:cs="Times New Roman"/>
          <w:sz w:val="26"/>
          <w:szCs w:val="26"/>
        </w:rPr>
        <w:t xml:space="preserve">enjoining transfer of petitioner </w:t>
      </w:r>
      <w:r w:rsidRPr="57283B4A" w:rsidR="008B2FDF">
        <w:rPr>
          <w:rFonts w:ascii="Times New Roman" w:hAnsi="Times New Roman" w:cs="Times New Roman"/>
          <w:sz w:val="26"/>
          <w:szCs w:val="26"/>
        </w:rPr>
        <w:t>in order to</w:t>
      </w:r>
      <w:r w:rsidRPr="57283B4A" w:rsidR="008B2FDF">
        <w:rPr>
          <w:rFonts w:ascii="Times New Roman" w:hAnsi="Times New Roman" w:cs="Times New Roman"/>
          <w:sz w:val="26"/>
          <w:szCs w:val="26"/>
        </w:rPr>
        <w:t xml:space="preserve"> facilitate access to habeas counsel, to avoid frustrating counsel’s ability to prepare for and assist petitioner in bond hearing, and </w:t>
      </w:r>
      <w:r w:rsidRPr="57283B4A" w:rsidR="00695889">
        <w:rPr>
          <w:rFonts w:ascii="Times New Roman" w:hAnsi="Times New Roman" w:cs="Times New Roman"/>
          <w:sz w:val="26"/>
          <w:szCs w:val="26"/>
        </w:rPr>
        <w:t>to expedite the resolution of habeas proceedings</w:t>
      </w:r>
      <w:r w:rsidRPr="57283B4A" w:rsidR="006F750E">
        <w:rPr>
          <w:rFonts w:ascii="Times New Roman" w:hAnsi="Times New Roman" w:cs="Times New Roman"/>
          <w:sz w:val="26"/>
          <w:szCs w:val="26"/>
        </w:rPr>
        <w:t>)</w:t>
      </w:r>
      <w:r w:rsidRPr="57283B4A" w:rsidR="005D2D39">
        <w:rPr>
          <w:rFonts w:ascii="Times New Roman" w:hAnsi="Times New Roman" w:cs="Times New Roman"/>
          <w:sz w:val="26"/>
          <w:szCs w:val="26"/>
        </w:rPr>
        <w:t>.</w:t>
      </w:r>
      <w:r w:rsidRPr="57283B4A" w:rsidR="006355D6">
        <w:rPr>
          <w:rFonts w:ascii="Times New Roman" w:hAnsi="Times New Roman" w:cs="Times New Roman"/>
          <w:sz w:val="26"/>
          <w:szCs w:val="26"/>
        </w:rPr>
        <w:t xml:space="preserve"> </w:t>
      </w:r>
      <w:r w:rsidRPr="57283B4A" w:rsidR="00695889">
        <w:rPr>
          <w:rFonts w:ascii="Times New Roman" w:hAnsi="Times New Roman" w:cs="Times New Roman"/>
          <w:sz w:val="26"/>
          <w:szCs w:val="26"/>
        </w:rPr>
        <w:t>A</w:t>
      </w:r>
      <w:r w:rsidRPr="57283B4A" w:rsidR="00D5058F">
        <w:rPr>
          <w:rFonts w:ascii="Times New Roman" w:hAnsi="Times New Roman" w:cs="Times New Roman"/>
          <w:sz w:val="26"/>
          <w:szCs w:val="26"/>
        </w:rPr>
        <w:t xml:space="preserve"> stay under the </w:t>
      </w:r>
      <w:r w:rsidRPr="57283B4A" w:rsidR="00D5058F">
        <w:rPr>
          <w:rFonts w:ascii="Times New Roman" w:hAnsi="Times New Roman" w:cs="Times New Roman"/>
          <w:sz w:val="26"/>
          <w:szCs w:val="26"/>
        </w:rPr>
        <w:t>All Writs</w:t>
      </w:r>
      <w:r w:rsidRPr="57283B4A" w:rsidR="00D5058F">
        <w:rPr>
          <w:rFonts w:ascii="Times New Roman" w:hAnsi="Times New Roman" w:cs="Times New Roman"/>
          <w:sz w:val="26"/>
          <w:szCs w:val="26"/>
        </w:rPr>
        <w:t xml:space="preserve"> Act</w:t>
      </w:r>
      <w:r w:rsidRPr="57283B4A" w:rsidR="002066F1">
        <w:rPr>
          <w:rFonts w:ascii="Times New Roman" w:hAnsi="Times New Roman" w:cs="Times New Roman"/>
          <w:sz w:val="26"/>
          <w:szCs w:val="26"/>
        </w:rPr>
        <w:t xml:space="preserve"> is</w:t>
      </w:r>
      <w:r w:rsidRPr="57283B4A" w:rsidR="008B5A6E">
        <w:rPr>
          <w:rFonts w:ascii="Times New Roman" w:hAnsi="Times New Roman" w:cs="Times New Roman"/>
          <w:sz w:val="26"/>
          <w:szCs w:val="26"/>
        </w:rPr>
        <w:t xml:space="preserve"> appropriate </w:t>
      </w:r>
      <w:r w:rsidRPr="57283B4A" w:rsidR="008B5A6E">
        <w:rPr>
          <w:rFonts w:ascii="Times New Roman" w:hAnsi="Times New Roman" w:cs="Times New Roman"/>
          <w:sz w:val="26"/>
          <w:szCs w:val="26"/>
        </w:rPr>
        <w:t>in order to</w:t>
      </w:r>
      <w:r w:rsidRPr="57283B4A" w:rsidR="008B5A6E">
        <w:rPr>
          <w:rFonts w:ascii="Times New Roman" w:hAnsi="Times New Roman" w:cs="Times New Roman"/>
          <w:sz w:val="26"/>
          <w:szCs w:val="26"/>
        </w:rPr>
        <w:t xml:space="preserve"> “facilitate [petitioner’s] ability to work with [their] attorneys, coordinate the appearance of witnesses, and generally present [their] habeas claims….”</w:t>
      </w:r>
      <w:r w:rsidRPr="57283B4A" w:rsidR="008B5A6E">
        <w:rPr>
          <w:rFonts w:ascii="Segoe UI" w:hAnsi="Segoe UI" w:cs="Segoe UI"/>
          <w:sz w:val="26"/>
          <w:szCs w:val="26"/>
        </w:rPr>
        <w:t xml:space="preserve"> </w:t>
      </w:r>
      <w:r w:rsidRPr="57283B4A" w:rsidR="008B5A6E">
        <w:rPr>
          <w:rFonts w:ascii="Times New Roman" w:hAnsi="Times New Roman" w:cs="Times New Roman"/>
          <w:sz w:val="26"/>
          <w:szCs w:val="26"/>
        </w:rPr>
        <w:t> </w:t>
      </w:r>
      <w:r w:rsidRPr="57283B4A" w:rsidR="008B5A6E">
        <w:rPr>
          <w:rFonts w:ascii="Times New Roman" w:hAnsi="Times New Roman" w:cs="Times New Roman"/>
          <w:i w:val="1"/>
          <w:iCs w:val="1"/>
          <w:sz w:val="26"/>
          <w:szCs w:val="26"/>
        </w:rPr>
        <w:t>Arostegui-Maldonado</w:t>
      </w:r>
      <w:r w:rsidRPr="57283B4A" w:rsidR="008B5A6E">
        <w:rPr>
          <w:rFonts w:ascii="Times New Roman" w:hAnsi="Times New Roman" w:cs="Times New Roman"/>
          <w:sz w:val="26"/>
          <w:szCs w:val="26"/>
        </w:rPr>
        <w:t xml:space="preserve">, 794 F. Supp. 3d </w:t>
      </w:r>
      <w:r w:rsidRPr="57283B4A" w:rsidR="00421E4E">
        <w:rPr>
          <w:rFonts w:ascii="Times New Roman" w:hAnsi="Times New Roman" w:cs="Times New Roman"/>
          <w:sz w:val="26"/>
          <w:szCs w:val="26"/>
        </w:rPr>
        <w:t>at</w:t>
      </w:r>
      <w:r w:rsidRPr="57283B4A" w:rsidR="008B5A6E">
        <w:rPr>
          <w:rFonts w:ascii="Times New Roman" w:hAnsi="Times New Roman" w:cs="Times New Roman"/>
          <w:sz w:val="26"/>
          <w:szCs w:val="26"/>
        </w:rPr>
        <w:t xml:space="preserve"> 948</w:t>
      </w:r>
      <w:r w:rsidRPr="57283B4A" w:rsidR="00003EEB">
        <w:rPr>
          <w:rFonts w:ascii="Times New Roman" w:hAnsi="Times New Roman" w:cs="Times New Roman"/>
          <w:sz w:val="26"/>
          <w:szCs w:val="26"/>
        </w:rPr>
        <w:t>–</w:t>
      </w:r>
      <w:r w:rsidRPr="57283B4A" w:rsidR="008B5A6E">
        <w:rPr>
          <w:rFonts w:ascii="Times New Roman" w:hAnsi="Times New Roman" w:cs="Times New Roman"/>
          <w:sz w:val="26"/>
          <w:szCs w:val="26"/>
        </w:rPr>
        <w:t xml:space="preserve">50 (citing </w:t>
      </w:r>
      <w:r w:rsidRPr="57283B4A" w:rsidR="008B5A6E">
        <w:rPr>
          <w:rFonts w:ascii="Times New Roman" w:hAnsi="Times New Roman" w:cs="Times New Roman"/>
          <w:i w:val="1"/>
          <w:iCs w:val="1"/>
          <w:sz w:val="26"/>
          <w:szCs w:val="26"/>
        </w:rPr>
        <w:t>Ozturk v. Trump</w:t>
      </w:r>
      <w:r w:rsidRPr="57283B4A" w:rsidR="008B5A6E">
        <w:rPr>
          <w:rFonts w:ascii="Times New Roman" w:hAnsi="Times New Roman" w:cs="Times New Roman"/>
          <w:sz w:val="26"/>
          <w:szCs w:val="26"/>
        </w:rPr>
        <w:t>, 779 F.Supp.3d 462, 496 (D. Vt. Apr. 18, 2025), affirmed on appeal in</w:t>
      </w:r>
      <w:r w:rsidRPr="57283B4A" w:rsidR="008B5A6E">
        <w:rPr>
          <w:rFonts w:ascii="Times New Roman" w:hAnsi="Times New Roman" w:cs="Times New Roman"/>
          <w:i w:val="1"/>
          <w:iCs w:val="1"/>
          <w:sz w:val="26"/>
          <w:szCs w:val="26"/>
        </w:rPr>
        <w:t xml:space="preserve"> Ozturk v. Hyde</w:t>
      </w:r>
      <w:r w:rsidRPr="57283B4A" w:rsidR="008B5A6E">
        <w:rPr>
          <w:rFonts w:ascii="Times New Roman" w:hAnsi="Times New Roman" w:cs="Times New Roman"/>
          <w:sz w:val="26"/>
          <w:szCs w:val="26"/>
        </w:rPr>
        <w:t>, 136 F.4th 382, 394 (2d Cir. 2025)).</w:t>
      </w:r>
      <w:r w:rsidRPr="57283B4A" w:rsidR="008129AE">
        <w:rPr>
          <w:rFonts w:ascii="Times New Roman" w:hAnsi="Times New Roman" w:cs="Times New Roman"/>
          <w:sz w:val="26"/>
          <w:szCs w:val="26"/>
        </w:rPr>
        <w:t xml:space="preserve"> Habeas petitioners </w:t>
      </w:r>
      <w:r w:rsidRPr="57283B4A" w:rsidR="00900671">
        <w:rPr>
          <w:rFonts w:ascii="Times New Roman" w:hAnsi="Times New Roman" w:cs="Times New Roman"/>
          <w:sz w:val="26"/>
          <w:szCs w:val="26"/>
        </w:rPr>
        <w:t xml:space="preserve">may face irreparable harm if transferred outside the district. </w:t>
      </w:r>
      <w:r w:rsidRPr="57283B4A" w:rsidR="00900671">
        <w:rPr>
          <w:rFonts w:ascii="Times New Roman" w:hAnsi="Times New Roman" w:cs="Times New Roman"/>
          <w:i w:val="1"/>
          <w:iCs w:val="1"/>
          <w:sz w:val="26"/>
          <w:szCs w:val="26"/>
        </w:rPr>
        <w:t xml:space="preserve">See </w:t>
      </w:r>
      <w:r w:rsidRPr="57283B4A" w:rsidR="00900671">
        <w:rPr>
          <w:rFonts w:ascii="Times New Roman" w:hAnsi="Times New Roman" w:cs="Times New Roman"/>
          <w:i w:val="1"/>
          <w:iCs w:val="1"/>
          <w:sz w:val="26"/>
          <w:szCs w:val="26"/>
        </w:rPr>
        <w:t>Arostegui-Maldonado</w:t>
      </w:r>
      <w:r w:rsidRPr="57283B4A" w:rsidR="00900671">
        <w:rPr>
          <w:rFonts w:ascii="Times New Roman" w:hAnsi="Times New Roman" w:cs="Times New Roman"/>
          <w:sz w:val="26"/>
          <w:szCs w:val="26"/>
        </w:rPr>
        <w:t xml:space="preserve">, </w:t>
      </w:r>
      <w:r w:rsidRPr="57283B4A" w:rsidR="00900671">
        <w:rPr>
          <w:rFonts w:ascii="Times New Roman" w:hAnsi="Times New Roman" w:cs="Times New Roman"/>
          <w:sz w:val="26"/>
          <w:szCs w:val="26"/>
        </w:rPr>
        <w:t xml:space="preserve">794 F. Supp. 3d </w:t>
      </w:r>
      <w:r w:rsidRPr="57283B4A" w:rsidR="00900671">
        <w:rPr>
          <w:rFonts w:ascii="Times New Roman" w:hAnsi="Times New Roman" w:cs="Times New Roman"/>
          <w:sz w:val="26"/>
          <w:szCs w:val="26"/>
        </w:rPr>
        <w:t xml:space="preserve">at </w:t>
      </w:r>
      <w:r w:rsidRPr="57283B4A" w:rsidR="006267F1">
        <w:rPr>
          <w:rFonts w:ascii="Times New Roman" w:hAnsi="Times New Roman" w:cs="Times New Roman"/>
          <w:sz w:val="26"/>
          <w:szCs w:val="26"/>
        </w:rPr>
        <w:t>949 (</w:t>
      </w:r>
      <w:r w:rsidRPr="57283B4A" w:rsidR="00FE6F77">
        <w:rPr>
          <w:rFonts w:ascii="Times New Roman" w:hAnsi="Times New Roman" w:cs="Times New Roman"/>
          <w:sz w:val="26"/>
          <w:szCs w:val="26"/>
        </w:rPr>
        <w:t xml:space="preserve">recognizing as “meaningful and consequential” </w:t>
      </w:r>
      <w:r w:rsidRPr="57283B4A" w:rsidR="006267F1">
        <w:rPr>
          <w:rFonts w:ascii="Times New Roman" w:hAnsi="Times New Roman" w:cs="Times New Roman"/>
          <w:sz w:val="26"/>
          <w:szCs w:val="26"/>
        </w:rPr>
        <w:t>petitioner’s concern that being forced to litigate his case “many states away from his lawyers” would deprive him of meaningful access to counsel)</w:t>
      </w:r>
      <w:r w:rsidRPr="57283B4A" w:rsidR="00FE6F77">
        <w:rPr>
          <w:rFonts w:ascii="Times New Roman" w:hAnsi="Times New Roman" w:cs="Times New Roman"/>
          <w:sz w:val="26"/>
          <w:szCs w:val="26"/>
        </w:rPr>
        <w:t xml:space="preserve"> (cleaned up)</w:t>
      </w:r>
      <w:r w:rsidRPr="57283B4A" w:rsidR="006267F1">
        <w:rPr>
          <w:rFonts w:ascii="Times New Roman" w:hAnsi="Times New Roman" w:cs="Times New Roman"/>
          <w:sz w:val="26"/>
          <w:szCs w:val="26"/>
        </w:rPr>
        <w:t>.</w:t>
      </w:r>
      <w:r w:rsidRPr="57283B4A" w:rsidR="004C2F54">
        <w:rPr>
          <w:rFonts w:ascii="Times New Roman" w:hAnsi="Times New Roman" w:cs="Times New Roman"/>
          <w:sz w:val="26"/>
          <w:szCs w:val="26"/>
        </w:rPr>
        <w:t xml:space="preserve"> Injunctive relief en</w:t>
      </w:r>
      <w:r w:rsidRPr="57283B4A" w:rsidR="000720BE">
        <w:rPr>
          <w:rFonts w:ascii="Times New Roman" w:hAnsi="Times New Roman" w:cs="Times New Roman"/>
          <w:sz w:val="26"/>
          <w:szCs w:val="26"/>
        </w:rPr>
        <w:t>ables</w:t>
      </w:r>
      <w:r w:rsidRPr="57283B4A" w:rsidR="004C2F54">
        <w:rPr>
          <w:rFonts w:ascii="Times New Roman" w:hAnsi="Times New Roman" w:cs="Times New Roman"/>
          <w:sz w:val="26"/>
          <w:szCs w:val="26"/>
        </w:rPr>
        <w:t xml:space="preserve"> </w:t>
      </w:r>
      <w:r w:rsidRPr="57283B4A" w:rsidR="007049FC">
        <w:rPr>
          <w:rFonts w:ascii="Times New Roman" w:hAnsi="Times New Roman" w:cs="Times New Roman"/>
          <w:sz w:val="26"/>
          <w:szCs w:val="26"/>
        </w:rPr>
        <w:t xml:space="preserve">petitioners </w:t>
      </w:r>
      <w:r w:rsidRPr="57283B4A" w:rsidR="000720BE">
        <w:rPr>
          <w:rFonts w:ascii="Times New Roman" w:hAnsi="Times New Roman" w:cs="Times New Roman"/>
          <w:sz w:val="26"/>
          <w:szCs w:val="26"/>
        </w:rPr>
        <w:t>to</w:t>
      </w:r>
      <w:r w:rsidRPr="57283B4A" w:rsidR="007049FC">
        <w:rPr>
          <w:rFonts w:ascii="Times New Roman" w:hAnsi="Times New Roman" w:cs="Times New Roman"/>
          <w:sz w:val="26"/>
          <w:szCs w:val="26"/>
        </w:rPr>
        <w:t xml:space="preserve"> be “full participant[s]” in the</w:t>
      </w:r>
      <w:r w:rsidRPr="57283B4A" w:rsidR="000720BE">
        <w:rPr>
          <w:rFonts w:ascii="Times New Roman" w:hAnsi="Times New Roman" w:cs="Times New Roman"/>
          <w:sz w:val="26"/>
          <w:szCs w:val="26"/>
        </w:rPr>
        <w:t>ir habeas</w:t>
      </w:r>
      <w:r w:rsidRPr="57283B4A" w:rsidR="007049FC">
        <w:rPr>
          <w:rFonts w:ascii="Times New Roman" w:hAnsi="Times New Roman" w:cs="Times New Roman"/>
          <w:sz w:val="26"/>
          <w:szCs w:val="26"/>
        </w:rPr>
        <w:t xml:space="preserve"> proceedings. </w:t>
      </w:r>
      <w:r w:rsidRPr="57283B4A" w:rsidR="007049FC">
        <w:rPr>
          <w:rFonts w:ascii="Times New Roman" w:hAnsi="Times New Roman" w:cs="Times New Roman"/>
          <w:i w:val="1"/>
          <w:iCs w:val="1"/>
          <w:sz w:val="26"/>
          <w:szCs w:val="26"/>
        </w:rPr>
        <w:t>Ozturk</w:t>
      </w:r>
      <w:r w:rsidRPr="57283B4A" w:rsidR="007049FC">
        <w:rPr>
          <w:rFonts w:ascii="Times New Roman" w:hAnsi="Times New Roman" w:cs="Times New Roman"/>
          <w:sz w:val="26"/>
          <w:szCs w:val="26"/>
        </w:rPr>
        <w:t xml:space="preserve">, 779 F.Supp.3d at </w:t>
      </w:r>
      <w:r w:rsidRPr="57283B4A" w:rsidR="000720BE">
        <w:rPr>
          <w:rFonts w:ascii="Times New Roman" w:hAnsi="Times New Roman" w:cs="Times New Roman"/>
          <w:sz w:val="26"/>
          <w:szCs w:val="26"/>
        </w:rPr>
        <w:t>496.</w:t>
      </w:r>
    </w:p>
    <w:p w:rsidRPr="008B5A6E" w:rsidR="006124E5" w:rsidP="57283B4A" w:rsidRDefault="006124E5" w14:paraId="1CB8B5E1" w14:textId="1362CA79">
      <w:pPr>
        <w:spacing w:after="0" w:line="480" w:lineRule="auto"/>
        <w:ind w:firstLine="720"/>
        <w:jc w:val="both"/>
        <w:rPr>
          <w:rFonts w:ascii="Times New Roman" w:hAnsi="Times New Roman" w:cs="Times New Roman"/>
          <w:i w:val="1"/>
          <w:iCs w:val="1"/>
          <w:sz w:val="26"/>
          <w:szCs w:val="26"/>
        </w:rPr>
      </w:pPr>
      <w:r w:rsidRPr="57283B4A" w:rsidR="006124E5">
        <w:rPr>
          <w:rFonts w:ascii="Times New Roman" w:hAnsi="Times New Roman" w:cs="Times New Roman"/>
          <w:sz w:val="26"/>
          <w:szCs w:val="26"/>
        </w:rPr>
        <w:t xml:space="preserve">Here, </w:t>
      </w:r>
      <w:r w:rsidRPr="57283B4A" w:rsidR="006124E5">
        <w:rPr>
          <w:rFonts w:ascii="Times New Roman" w:hAnsi="Times New Roman" w:cs="Times New Roman"/>
          <w:sz w:val="26"/>
          <w:szCs w:val="26"/>
          <w:highlight w:val="yellow"/>
        </w:rPr>
        <w:t>[Petitioner-specific facts</w:t>
      </w:r>
      <w:r w:rsidRPr="57283B4A" w:rsidR="00EB6546">
        <w:rPr>
          <w:rFonts w:ascii="Times New Roman" w:hAnsi="Times New Roman" w:cs="Times New Roman"/>
          <w:sz w:val="26"/>
          <w:szCs w:val="26"/>
          <w:highlight w:val="yellow"/>
        </w:rPr>
        <w:t xml:space="preserve"> on detention, prior transfers if any, </w:t>
      </w:r>
      <w:r w:rsidRPr="57283B4A" w:rsidR="00AD6616">
        <w:rPr>
          <w:rFonts w:ascii="Times New Roman" w:hAnsi="Times New Roman" w:cs="Times New Roman"/>
          <w:sz w:val="26"/>
          <w:szCs w:val="26"/>
          <w:highlight w:val="yellow"/>
        </w:rPr>
        <w:t xml:space="preserve">and </w:t>
      </w:r>
      <w:r w:rsidRPr="57283B4A" w:rsidR="00EB6546">
        <w:rPr>
          <w:rFonts w:ascii="Times New Roman" w:hAnsi="Times New Roman" w:cs="Times New Roman"/>
          <w:sz w:val="26"/>
          <w:szCs w:val="26"/>
          <w:highlight w:val="yellow"/>
        </w:rPr>
        <w:t>need for access to local pro bono counsel</w:t>
      </w:r>
      <w:r w:rsidRPr="57283B4A" w:rsidR="006124E5">
        <w:rPr>
          <w:rFonts w:ascii="Times New Roman" w:hAnsi="Times New Roman" w:cs="Times New Roman"/>
          <w:sz w:val="26"/>
          <w:szCs w:val="26"/>
          <w:highlight w:val="yellow"/>
        </w:rPr>
        <w:t>]</w:t>
      </w:r>
      <w:r w:rsidRPr="57283B4A" w:rsidR="00EB6546">
        <w:rPr>
          <w:rFonts w:ascii="Times New Roman" w:hAnsi="Times New Roman" w:cs="Times New Roman"/>
          <w:sz w:val="26"/>
          <w:szCs w:val="26"/>
        </w:rPr>
        <w:t>. Enjoining transfer will not only protect Petitioner’s continued meaningful access to counsel but will also ensure that Petitioner is available for testimony going to t</w:t>
      </w:r>
      <w:r w:rsidRPr="57283B4A" w:rsidR="00440775">
        <w:rPr>
          <w:rFonts w:ascii="Times New Roman" w:hAnsi="Times New Roman" w:cs="Times New Roman"/>
          <w:sz w:val="26"/>
          <w:szCs w:val="26"/>
        </w:rPr>
        <w:t>he heart of the habeas petition and the ultimate question of release from custody.</w:t>
      </w:r>
      <w:r w:rsidRPr="57283B4A" w:rsidR="008B5A6E">
        <w:rPr>
          <w:rFonts w:ascii="Times New Roman" w:hAnsi="Times New Roman" w:cs="Times New Roman"/>
          <w:sz w:val="26"/>
          <w:szCs w:val="26"/>
        </w:rPr>
        <w:t xml:space="preserve"> </w:t>
      </w:r>
      <w:r w:rsidRPr="57283B4A" w:rsidR="008B5A6E">
        <w:rPr>
          <w:rFonts w:ascii="Times New Roman" w:hAnsi="Times New Roman" w:cs="Times New Roman"/>
          <w:i w:val="1"/>
          <w:iCs w:val="1"/>
          <w:sz w:val="26"/>
          <w:szCs w:val="26"/>
        </w:rPr>
        <w:t xml:space="preserve">See </w:t>
      </w:r>
      <w:r w:rsidRPr="57283B4A" w:rsidR="008B5A6E">
        <w:rPr>
          <w:rFonts w:ascii="Times New Roman" w:hAnsi="Times New Roman" w:cs="Times New Roman"/>
          <w:i w:val="1"/>
          <w:iCs w:val="1"/>
          <w:sz w:val="26"/>
          <w:szCs w:val="26"/>
        </w:rPr>
        <w:t>Arostegui-Maldonad</w:t>
      </w:r>
      <w:r w:rsidRPr="57283B4A" w:rsidR="008B5A6E">
        <w:rPr>
          <w:rFonts w:ascii="Times New Roman" w:hAnsi="Times New Roman" w:cs="Times New Roman"/>
          <w:sz w:val="26"/>
          <w:szCs w:val="26"/>
        </w:rPr>
        <w:t xml:space="preserve">o, 794 F. Supp. 3d at 950 (enjoining transfer where this could “meaningfully deprive </w:t>
      </w:r>
      <w:r w:rsidRPr="57283B4A" w:rsidR="00F675FC">
        <w:rPr>
          <w:rFonts w:ascii="Times New Roman" w:hAnsi="Times New Roman" w:cs="Times New Roman"/>
          <w:sz w:val="26"/>
          <w:szCs w:val="26"/>
        </w:rPr>
        <w:t xml:space="preserve">[petitioner] </w:t>
      </w:r>
      <w:r w:rsidRPr="57283B4A" w:rsidR="008B5A6E">
        <w:rPr>
          <w:rFonts w:ascii="Times New Roman" w:hAnsi="Times New Roman" w:cs="Times New Roman"/>
          <w:sz w:val="26"/>
          <w:szCs w:val="26"/>
        </w:rPr>
        <w:t>of counsel</w:t>
      </w:r>
      <w:r w:rsidRPr="57283B4A" w:rsidR="00F675FC">
        <w:rPr>
          <w:rFonts w:ascii="Times New Roman" w:hAnsi="Times New Roman" w:cs="Times New Roman"/>
          <w:sz w:val="26"/>
          <w:szCs w:val="26"/>
        </w:rPr>
        <w:t>’</w:t>
      </w:r>
      <w:r w:rsidRPr="57283B4A" w:rsidR="008B5A6E">
        <w:rPr>
          <w:rFonts w:ascii="Times New Roman" w:hAnsi="Times New Roman" w:cs="Times New Roman"/>
          <w:sz w:val="26"/>
          <w:szCs w:val="26"/>
        </w:rPr>
        <w:t>s ability to aid in his representation for the duration of these habeas proceedings”) (cleaned up)</w:t>
      </w:r>
      <w:r w:rsidRPr="57283B4A" w:rsidR="00F675FC">
        <w:rPr>
          <w:rFonts w:ascii="Times New Roman" w:hAnsi="Times New Roman" w:cs="Times New Roman"/>
          <w:sz w:val="26"/>
          <w:szCs w:val="26"/>
        </w:rPr>
        <w:t>.</w:t>
      </w:r>
    </w:p>
    <w:p w:rsidR="00E4447D" w:rsidP="57283B4A" w:rsidRDefault="00E4447D" w14:paraId="636B94E0" w14:textId="2B0D6EA2">
      <w:pPr>
        <w:pStyle w:val="ListParagraph"/>
        <w:numPr>
          <w:ilvl w:val="0"/>
          <w:numId w:val="4"/>
        </w:numPr>
        <w:spacing w:after="0" w:line="480" w:lineRule="auto"/>
        <w:contextualSpacing w:val="0"/>
        <w:rPr>
          <w:rFonts w:ascii="Times New Roman" w:hAnsi="Times New Roman" w:cs="Times New Roman"/>
          <w:b w:val="1"/>
          <w:bCs w:val="1"/>
          <w:sz w:val="26"/>
          <w:szCs w:val="26"/>
        </w:rPr>
      </w:pPr>
      <w:r w:rsidRPr="57283B4A" w:rsidR="00E4447D">
        <w:rPr>
          <w:rFonts w:ascii="Times New Roman" w:hAnsi="Times New Roman" w:cs="Times New Roman"/>
          <w:b w:val="1"/>
          <w:bCs w:val="1"/>
          <w:sz w:val="26"/>
          <w:szCs w:val="26"/>
        </w:rPr>
        <w:t>Conclusion</w:t>
      </w:r>
    </w:p>
    <w:p w:rsidRPr="00903F66" w:rsidR="006A0C0C" w:rsidP="57283B4A" w:rsidRDefault="000C6231" w14:paraId="23C65751" w14:textId="33886A30">
      <w:pPr>
        <w:spacing w:after="0" w:line="480" w:lineRule="auto"/>
        <w:ind w:firstLine="720"/>
        <w:jc w:val="both"/>
        <w:rPr>
          <w:rFonts w:ascii="Times New Roman" w:hAnsi="Times New Roman" w:cs="Times New Roman"/>
          <w:sz w:val="26"/>
          <w:szCs w:val="26"/>
        </w:rPr>
      </w:pPr>
      <w:r w:rsidRPr="57283B4A" w:rsidR="000C6231">
        <w:rPr>
          <w:rFonts w:ascii="Times New Roman" w:hAnsi="Times New Roman" w:cs="Times New Roman"/>
          <w:sz w:val="26"/>
          <w:szCs w:val="26"/>
        </w:rPr>
        <w:t>For all the foregoing reasons</w:t>
      </w:r>
      <w:r w:rsidRPr="57283B4A" w:rsidR="00903F66">
        <w:rPr>
          <w:rFonts w:ascii="Times New Roman" w:hAnsi="Times New Roman" w:cs="Times New Roman"/>
          <w:sz w:val="26"/>
          <w:szCs w:val="26"/>
        </w:rPr>
        <w:t xml:space="preserve">, Petitioner respectfully urges this Court to </w:t>
      </w:r>
      <w:r w:rsidRPr="57283B4A" w:rsidR="00BB6432">
        <w:rPr>
          <w:rFonts w:ascii="Times New Roman" w:hAnsi="Times New Roman" w:cs="Times New Roman"/>
          <w:sz w:val="26"/>
          <w:szCs w:val="26"/>
        </w:rPr>
        <w:t>grant the instant Motion</w:t>
      </w:r>
      <w:r w:rsidRPr="57283B4A" w:rsidR="0065354B">
        <w:rPr>
          <w:rFonts w:ascii="Times New Roman" w:hAnsi="Times New Roman" w:cs="Times New Roman"/>
          <w:sz w:val="26"/>
          <w:szCs w:val="26"/>
        </w:rPr>
        <w:t xml:space="preserve"> and issue an order enjoining </w:t>
      </w:r>
      <w:r w:rsidRPr="57283B4A" w:rsidR="00BB6432">
        <w:rPr>
          <w:rFonts w:ascii="Times New Roman" w:hAnsi="Times New Roman" w:cs="Times New Roman"/>
          <w:sz w:val="26"/>
          <w:szCs w:val="26"/>
        </w:rPr>
        <w:t>Respondents from transferring</w:t>
      </w:r>
      <w:r w:rsidRPr="57283B4A" w:rsidR="0065354B">
        <w:rPr>
          <w:rFonts w:ascii="Times New Roman" w:hAnsi="Times New Roman" w:cs="Times New Roman"/>
          <w:sz w:val="26"/>
          <w:szCs w:val="26"/>
        </w:rPr>
        <w:t xml:space="preserve"> Petitioner </w:t>
      </w:r>
      <w:r w:rsidRPr="57283B4A" w:rsidR="00BB6432">
        <w:rPr>
          <w:rFonts w:ascii="Times New Roman" w:hAnsi="Times New Roman" w:cs="Times New Roman"/>
          <w:sz w:val="26"/>
          <w:szCs w:val="26"/>
        </w:rPr>
        <w:t xml:space="preserve">out of </w:t>
      </w:r>
      <w:r w:rsidRPr="57283B4A" w:rsidR="0065354B">
        <w:rPr>
          <w:rFonts w:ascii="Times New Roman" w:hAnsi="Times New Roman" w:cs="Times New Roman"/>
          <w:sz w:val="26"/>
          <w:szCs w:val="26"/>
        </w:rPr>
        <w:t>this judicial district</w:t>
      </w:r>
      <w:r w:rsidRPr="57283B4A" w:rsidR="00BB6432">
        <w:rPr>
          <w:rFonts w:ascii="Times New Roman" w:hAnsi="Times New Roman" w:cs="Times New Roman"/>
          <w:sz w:val="26"/>
          <w:szCs w:val="26"/>
        </w:rPr>
        <w:t xml:space="preserve"> </w:t>
      </w:r>
      <w:r w:rsidRPr="57283B4A" w:rsidR="00CA6413">
        <w:rPr>
          <w:rFonts w:ascii="Times New Roman" w:hAnsi="Times New Roman" w:cs="Times New Roman"/>
          <w:sz w:val="26"/>
          <w:szCs w:val="26"/>
        </w:rPr>
        <w:t>pending further orders of this Court</w:t>
      </w:r>
      <w:r w:rsidRPr="57283B4A" w:rsidR="0065354B">
        <w:rPr>
          <w:rFonts w:ascii="Times New Roman" w:hAnsi="Times New Roman" w:cs="Times New Roman"/>
          <w:sz w:val="26"/>
          <w:szCs w:val="26"/>
        </w:rPr>
        <w:t xml:space="preserve">. If argument would be helpful to the Court, Petitioner respectfully requests that the Court set this Motion for argument at </w:t>
      </w:r>
      <w:r w:rsidRPr="57283B4A" w:rsidR="0030402E">
        <w:rPr>
          <w:rFonts w:ascii="Times New Roman" w:hAnsi="Times New Roman" w:cs="Times New Roman"/>
          <w:sz w:val="26"/>
          <w:szCs w:val="26"/>
        </w:rPr>
        <w:t>its earliest convenience</w:t>
      </w:r>
      <w:r w:rsidRPr="57283B4A" w:rsidR="0065354B">
        <w:rPr>
          <w:rFonts w:ascii="Times New Roman" w:hAnsi="Times New Roman" w:cs="Times New Roman"/>
          <w:sz w:val="26"/>
          <w:szCs w:val="26"/>
        </w:rPr>
        <w:t>.</w:t>
      </w:r>
    </w:p>
    <w:p w:rsidR="00A44E00" w:rsidP="57283B4A" w:rsidRDefault="00A44E00" w14:paraId="600694BD" w14:textId="77777777">
      <w:pPr>
        <w:pStyle w:val="BodyText"/>
        <w:tabs>
          <w:tab w:val="left" w:pos="5040"/>
        </w:tabs>
        <w:rPr>
          <w:sz w:val="26"/>
          <w:szCs w:val="26"/>
        </w:rPr>
      </w:pPr>
    </w:p>
    <w:p w:rsidR="00906A8E" w:rsidP="57283B4A" w:rsidRDefault="00906A8E" w14:paraId="117A270E" w14:textId="3DF44BA4">
      <w:pPr>
        <w:pStyle w:val="BodyText"/>
        <w:tabs>
          <w:tab w:val="left" w:pos="5040"/>
        </w:tabs>
        <w:rPr>
          <w:sz w:val="26"/>
          <w:szCs w:val="26"/>
        </w:rPr>
      </w:pPr>
      <w:r w:rsidRPr="57283B4A" w:rsidR="00906A8E">
        <w:rPr>
          <w:sz w:val="26"/>
          <w:szCs w:val="26"/>
        </w:rPr>
        <w:t>Dated:</w:t>
      </w:r>
      <w:r w:rsidRPr="57283B4A" w:rsidR="00906A8E">
        <w:rPr>
          <w:spacing w:val="-1"/>
          <w:sz w:val="26"/>
          <w:szCs w:val="26"/>
        </w:rPr>
        <w:t xml:space="preserve"> </w:t>
      </w:r>
      <w:r w:rsidRPr="57283B4A" w:rsidR="00906A8E">
        <w:rPr>
          <w:sz w:val="26"/>
          <w:szCs w:val="26"/>
          <w:highlight w:val="yellow"/>
        </w:rPr>
        <w:t>[Date]</w:t>
      </w:r>
      <w:r>
        <w:tab/>
      </w:r>
      <w:r w:rsidRPr="57283B4A" w:rsidR="00906A8E">
        <w:rPr>
          <w:sz w:val="26"/>
          <w:szCs w:val="26"/>
        </w:rPr>
        <w:t>Respectfully submitted,</w:t>
      </w:r>
    </w:p>
    <w:p w:rsidR="00906A8E" w:rsidP="57283B4A" w:rsidRDefault="00906A8E" w14:paraId="1639064A" w14:textId="77777777">
      <w:pPr>
        <w:pStyle w:val="BodyText"/>
        <w:tabs>
          <w:tab w:val="left" w:pos="5879"/>
        </w:tabs>
        <w:rPr>
          <w:sz w:val="26"/>
          <w:szCs w:val="26"/>
        </w:rPr>
      </w:pPr>
    </w:p>
    <w:p w:rsidR="00906A8E" w:rsidP="57283B4A" w:rsidRDefault="00906A8E" w14:paraId="24B2F793" w14:textId="77777777">
      <w:pPr>
        <w:pStyle w:val="BodyText"/>
        <w:tabs>
          <w:tab w:val="left" w:pos="5040"/>
        </w:tabs>
        <w:rPr>
          <w:sz w:val="26"/>
          <w:szCs w:val="26"/>
        </w:rPr>
      </w:pPr>
      <w:r>
        <w:tab/>
      </w:r>
      <w:r w:rsidRPr="57283B4A" w:rsidR="00906A8E">
        <w:rPr>
          <w:sz w:val="26"/>
          <w:szCs w:val="26"/>
          <w:highlight w:val="yellow"/>
        </w:rPr>
        <w:t>[Attorney Signature Block</w:t>
      </w:r>
      <w:r w:rsidRPr="57283B4A" w:rsidR="00906A8E">
        <w:rPr>
          <w:sz w:val="26"/>
          <w:szCs w:val="26"/>
        </w:rPr>
        <w:t>]</w:t>
      </w:r>
    </w:p>
    <w:p w:rsidR="00906A8E" w:rsidP="57283B4A" w:rsidRDefault="00906A8E" w14:paraId="00D08475" w14:textId="77777777">
      <w:pPr>
        <w:pStyle w:val="BodyText"/>
        <w:tabs>
          <w:tab w:val="left" w:pos="5879"/>
        </w:tabs>
        <w:rPr>
          <w:sz w:val="26"/>
          <w:szCs w:val="26"/>
        </w:rPr>
      </w:pPr>
    </w:p>
    <w:p w:rsidRPr="009B6589" w:rsidR="00906A8E" w:rsidP="57283B4A" w:rsidRDefault="00906A8E" w14:paraId="5A762141" w14:textId="77777777">
      <w:pPr>
        <w:pStyle w:val="BodyText"/>
        <w:tabs>
          <w:tab w:val="left" w:pos="5040"/>
        </w:tabs>
        <w:rPr>
          <w:i w:val="1"/>
          <w:iCs w:val="1"/>
          <w:sz w:val="26"/>
          <w:szCs w:val="26"/>
        </w:rPr>
      </w:pPr>
      <w:r>
        <w:tab/>
      </w:r>
      <w:r w:rsidRPr="57283B4A" w:rsidR="00906A8E">
        <w:rPr>
          <w:i w:val="1"/>
          <w:iCs w:val="1"/>
          <w:sz w:val="26"/>
          <w:szCs w:val="26"/>
        </w:rPr>
        <w:t>Counsel for Petitioner</w:t>
      </w:r>
    </w:p>
    <w:p w:rsidR="00906A8E" w:rsidP="57283B4A" w:rsidRDefault="00906A8E" w14:paraId="00E6AB46" w14:textId="77777777">
      <w:pPr>
        <w:pStyle w:val="BodyText"/>
        <w:tabs>
          <w:tab w:val="left" w:pos="5879"/>
        </w:tabs>
        <w:rPr>
          <w:sz w:val="26"/>
          <w:szCs w:val="26"/>
        </w:rPr>
      </w:pPr>
    </w:p>
    <w:p w:rsidR="00906A8E" w:rsidP="57283B4A" w:rsidRDefault="00906A8E" w14:paraId="2C454BF0" w14:textId="77777777">
      <w:pPr>
        <w:pStyle w:val="paragraph"/>
        <w:spacing w:before="0" w:beforeAutospacing="off" w:after="0" w:afterAutospacing="off"/>
        <w:jc w:val="center"/>
        <w:textAlignment w:val="baseline"/>
        <w:rPr>
          <w:rStyle w:val="normaltextrun"/>
          <w:rFonts w:eastAsia="" w:eastAsiaTheme="majorEastAsia"/>
          <w:b w:val="1"/>
          <w:bCs w:val="1"/>
          <w:color w:val="000000"/>
          <w:sz w:val="26"/>
          <w:szCs w:val="26"/>
          <w:u w:val="single"/>
        </w:rPr>
      </w:pPr>
    </w:p>
    <w:p w:rsidR="00906A8E" w:rsidP="57283B4A" w:rsidRDefault="00906A8E" w14:paraId="797EEFCE" w14:textId="77777777">
      <w:pPr>
        <w:pStyle w:val="paragraph"/>
        <w:spacing w:before="0" w:beforeAutospacing="off" w:after="0" w:afterAutospacing="off"/>
        <w:jc w:val="center"/>
        <w:textAlignment w:val="baseline"/>
        <w:rPr>
          <w:rStyle w:val="normaltextrun"/>
          <w:rFonts w:eastAsia="" w:eastAsiaTheme="majorEastAsia"/>
          <w:b w:val="1"/>
          <w:bCs w:val="1"/>
          <w:color w:val="000000"/>
          <w:sz w:val="26"/>
          <w:szCs w:val="26"/>
          <w:u w:val="single"/>
        </w:rPr>
      </w:pPr>
    </w:p>
    <w:p w:rsidR="00906A8E" w:rsidP="57283B4A" w:rsidRDefault="00906A8E" w14:paraId="15C2B154" w14:textId="77777777">
      <w:pPr>
        <w:rPr>
          <w:rStyle w:val="normaltextrun"/>
          <w:rFonts w:ascii="Times New Roman" w:hAnsi="Times New Roman" w:eastAsia="" w:cs="Times New Roman" w:eastAsiaTheme="majorEastAsia"/>
          <w:b w:val="1"/>
          <w:bCs w:val="1"/>
          <w:color w:val="000000"/>
          <w:kern w:val="0"/>
          <w:sz w:val="26"/>
          <w:szCs w:val="26"/>
          <w:u w:val="single"/>
          <w14:ligatures w14:val="none"/>
        </w:rPr>
      </w:pPr>
      <w:r w:rsidRPr="57283B4A">
        <w:rPr>
          <w:rStyle w:val="normaltextrun"/>
          <w:rFonts w:eastAsia="" w:eastAsiaTheme="majorEastAsia"/>
          <w:b w:val="1"/>
          <w:bCs w:val="1"/>
          <w:color w:val="000000" w:themeColor="text1" w:themeTint="FF" w:themeShade="FF"/>
          <w:sz w:val="26"/>
          <w:szCs w:val="26"/>
          <w:u w:val="single"/>
        </w:rPr>
        <w:br w:type="page"/>
      </w:r>
    </w:p>
    <w:p w:rsidRPr="009C4C13" w:rsidR="009C4C13" w:rsidP="57283B4A" w:rsidRDefault="009C4C13" w14:paraId="3AE035DF" w14:textId="77777777">
      <w:pPr>
        <w:pStyle w:val="BodyText"/>
        <w:tabs>
          <w:tab w:val="left" w:pos="5040"/>
        </w:tabs>
        <w:jc w:val="center"/>
        <w:rPr>
          <w:i w:val="1"/>
          <w:iCs w:val="1"/>
          <w:sz w:val="26"/>
          <w:szCs w:val="26"/>
        </w:rPr>
      </w:pPr>
      <w:r w:rsidRPr="57283B4A" w:rsidR="009C4C13">
        <w:rPr>
          <w:rStyle w:val="normaltextrun"/>
          <w:rFonts w:eastAsia="" w:eastAsiaTheme="majorEastAsia"/>
          <w:b w:val="1"/>
          <w:bCs w:val="1"/>
          <w:color w:val="000000" w:themeColor="text1" w:themeTint="FF" w:themeShade="FF"/>
          <w:sz w:val="26"/>
          <w:szCs w:val="26"/>
          <w:u w:val="single"/>
        </w:rPr>
        <w:t>CERTIFICATE OF SERVICE</w:t>
      </w:r>
    </w:p>
    <w:p w:rsidRPr="009C4C13" w:rsidR="009C4C13" w:rsidP="57283B4A" w:rsidRDefault="009C4C13" w14:paraId="467F876D" w14:textId="77777777">
      <w:pPr>
        <w:pStyle w:val="BodyText"/>
        <w:tabs>
          <w:tab w:val="left" w:pos="6118"/>
        </w:tabs>
        <w:rPr>
          <w:sz w:val="26"/>
          <w:szCs w:val="26"/>
        </w:rPr>
      </w:pPr>
    </w:p>
    <w:p w:rsidRPr="009C4C13" w:rsidR="009C4C13" w:rsidP="57283B4A" w:rsidRDefault="009C4C13" w14:paraId="257B2B27" w14:textId="77777777">
      <w:pPr>
        <w:spacing w:after="0" w:line="240" w:lineRule="auto"/>
        <w:ind w:firstLine="720"/>
        <w:rPr>
          <w:rFonts w:ascii="Times New Roman" w:hAnsi="Times New Roman" w:cs="Times New Roman"/>
          <w:sz w:val="26"/>
          <w:szCs w:val="26"/>
        </w:rPr>
      </w:pPr>
      <w:r w:rsidRPr="57283B4A" w:rsidR="009C4C13">
        <w:rPr>
          <w:rFonts w:ascii="Times New Roman" w:hAnsi="Times New Roman" w:cs="Times New Roman"/>
          <w:b w:val="1"/>
          <w:bCs w:val="1"/>
          <w:sz w:val="26"/>
          <w:szCs w:val="26"/>
        </w:rPr>
        <w:t xml:space="preserve">I HEREBY CERTIFY </w:t>
      </w:r>
      <w:r w:rsidRPr="57283B4A" w:rsidR="009C4C13">
        <w:rPr>
          <w:rFonts w:ascii="Times New Roman" w:hAnsi="Times New Roman" w:cs="Times New Roman"/>
          <w:sz w:val="26"/>
          <w:szCs w:val="26"/>
        </w:rPr>
        <w:t xml:space="preserve">that on the </w:t>
      </w:r>
      <w:r w:rsidRPr="57283B4A" w:rsidR="009C4C13">
        <w:rPr>
          <w:rFonts w:ascii="Times New Roman" w:hAnsi="Times New Roman" w:cs="Times New Roman"/>
          <w:sz w:val="26"/>
          <w:szCs w:val="26"/>
          <w:highlight w:val="yellow"/>
        </w:rPr>
        <w:t>___</w:t>
      </w:r>
      <w:r w:rsidRPr="57283B4A" w:rsidR="009C4C13">
        <w:rPr>
          <w:rFonts w:ascii="Times New Roman" w:hAnsi="Times New Roman" w:cs="Times New Roman"/>
          <w:sz w:val="26"/>
          <w:szCs w:val="26"/>
        </w:rPr>
        <w:t xml:space="preserve"> day of </w:t>
      </w:r>
      <w:r w:rsidRPr="57283B4A" w:rsidR="009C4C13">
        <w:rPr>
          <w:rFonts w:ascii="Times New Roman" w:hAnsi="Times New Roman" w:cs="Times New Roman"/>
          <w:sz w:val="26"/>
          <w:szCs w:val="26"/>
          <w:highlight w:val="yellow"/>
        </w:rPr>
        <w:t>____</w:t>
      </w:r>
      <w:r w:rsidRPr="57283B4A" w:rsidR="009C4C13">
        <w:rPr>
          <w:rFonts w:ascii="Times New Roman" w:hAnsi="Times New Roman" w:cs="Times New Roman"/>
          <w:sz w:val="26"/>
          <w:szCs w:val="26"/>
        </w:rPr>
        <w:t xml:space="preserve">, </w:t>
      </w:r>
      <w:r w:rsidRPr="57283B4A" w:rsidR="009C4C13">
        <w:rPr>
          <w:rFonts w:ascii="Times New Roman" w:hAnsi="Times New Roman" w:cs="Times New Roman"/>
          <w:sz w:val="26"/>
          <w:szCs w:val="26"/>
          <w:highlight w:val="yellow"/>
        </w:rPr>
        <w:t>202_</w:t>
      </w:r>
      <w:r w:rsidRPr="57283B4A" w:rsidR="009C4C13">
        <w:rPr>
          <w:rFonts w:ascii="Times New Roman" w:hAnsi="Times New Roman" w:cs="Times New Roman"/>
          <w:sz w:val="26"/>
          <w:szCs w:val="26"/>
        </w:rPr>
        <w:t xml:space="preserve">, I filed the foregoing using CM/ECF which caused the following parties or counsel to be served by electronic means, as more fully reflected on the Notice of Electronic Filing and pursuant to 26-MC-00004-03: </w:t>
      </w:r>
    </w:p>
    <w:p w:rsidRPr="009C4C13" w:rsidR="009C4C13" w:rsidP="57283B4A" w:rsidRDefault="009C4C13" w14:paraId="013346BF" w14:textId="77777777">
      <w:pPr>
        <w:pStyle w:val="Default"/>
        <w:rPr>
          <w:rFonts w:ascii="Times New Roman" w:hAnsi="Times New Roman" w:cs="Times New Roman"/>
          <w:sz w:val="26"/>
          <w:szCs w:val="26"/>
        </w:rPr>
      </w:pPr>
    </w:p>
    <w:p w:rsidRPr="009C4C13" w:rsidR="009C4C13" w:rsidP="57283B4A" w:rsidRDefault="009C4C13" w14:paraId="272DBD1E" w14:textId="77777777">
      <w:pPr>
        <w:pStyle w:val="Default"/>
        <w:rPr>
          <w:rFonts w:ascii="Times New Roman" w:hAnsi="Times New Roman" w:cs="Times New Roman"/>
          <w:sz w:val="26"/>
          <w:szCs w:val="26"/>
        </w:rPr>
      </w:pPr>
      <w:r w:rsidRPr="57283B4A" w:rsidR="009C4C13">
        <w:rPr>
          <w:rFonts w:ascii="Times New Roman" w:hAnsi="Times New Roman" w:cs="Times New Roman"/>
          <w:sz w:val="26"/>
          <w:szCs w:val="26"/>
          <w:highlight w:val="yellow"/>
        </w:rPr>
        <w:t>[Respondents’ attorney]</w:t>
      </w:r>
    </w:p>
    <w:p w:rsidRPr="009C4C13" w:rsidR="009C4C13" w:rsidP="57283B4A" w:rsidRDefault="009C4C13" w14:paraId="20BCF66D" w14:textId="77777777">
      <w:pPr>
        <w:pStyle w:val="Default"/>
        <w:rPr>
          <w:rFonts w:ascii="Times New Roman" w:hAnsi="Times New Roman" w:cs="Times New Roman"/>
          <w:sz w:val="26"/>
          <w:szCs w:val="26"/>
        </w:rPr>
      </w:pPr>
      <w:r w:rsidRPr="57283B4A" w:rsidR="009C4C13">
        <w:rPr>
          <w:rFonts w:ascii="Times New Roman" w:hAnsi="Times New Roman" w:cs="Times New Roman"/>
          <w:sz w:val="26"/>
          <w:szCs w:val="26"/>
        </w:rPr>
        <w:t xml:space="preserve">Counsel for Respondents </w:t>
      </w:r>
      <w:r w:rsidRPr="57283B4A" w:rsidR="009C4C13">
        <w:rPr>
          <w:rFonts w:ascii="Times New Roman" w:hAnsi="Times New Roman" w:cs="Times New Roman"/>
          <w:sz w:val="26"/>
          <w:szCs w:val="26"/>
          <w:highlight w:val="yellow"/>
        </w:rPr>
        <w:t>[Names]</w:t>
      </w:r>
    </w:p>
    <w:p w:rsidRPr="009C4C13" w:rsidR="009C4C13" w:rsidP="57283B4A" w:rsidRDefault="009C4C13" w14:paraId="0C46805D" w14:textId="77777777">
      <w:pPr>
        <w:pStyle w:val="Default"/>
        <w:rPr>
          <w:rFonts w:ascii="Times New Roman" w:hAnsi="Times New Roman" w:cs="Times New Roman"/>
          <w:sz w:val="26"/>
          <w:szCs w:val="26"/>
        </w:rPr>
      </w:pPr>
      <w:r w:rsidRPr="57283B4A" w:rsidR="009C4C13">
        <w:rPr>
          <w:rFonts w:ascii="Times New Roman" w:hAnsi="Times New Roman" w:cs="Times New Roman"/>
          <w:sz w:val="26"/>
          <w:szCs w:val="26"/>
          <w:highlight w:val="yellow"/>
        </w:rPr>
        <w:t>[email address]</w:t>
      </w:r>
      <w:r w:rsidRPr="57283B4A" w:rsidR="009C4C13">
        <w:rPr>
          <w:rFonts w:ascii="Times New Roman" w:hAnsi="Times New Roman" w:cs="Times New Roman"/>
          <w:sz w:val="26"/>
          <w:szCs w:val="26"/>
        </w:rPr>
        <w:t xml:space="preserve"> </w:t>
      </w:r>
    </w:p>
    <w:p w:rsidRPr="009C4C13" w:rsidR="009C4C13" w:rsidP="57283B4A" w:rsidRDefault="009C4C13" w14:paraId="07B739EE" w14:textId="77777777">
      <w:pPr>
        <w:pStyle w:val="Default"/>
        <w:rPr>
          <w:rFonts w:ascii="Times New Roman" w:hAnsi="Times New Roman" w:cs="Times New Roman"/>
          <w:sz w:val="26"/>
          <w:szCs w:val="26"/>
        </w:rPr>
      </w:pPr>
    </w:p>
    <w:p w:rsidRPr="009C4C13" w:rsidR="009C4C13" w:rsidP="57283B4A" w:rsidRDefault="009C4C13" w14:paraId="1B361BE5" w14:textId="77777777">
      <w:pPr>
        <w:pStyle w:val="Default"/>
        <w:rPr>
          <w:rFonts w:ascii="Times New Roman" w:hAnsi="Times New Roman" w:cs="Times New Roman"/>
          <w:sz w:val="26"/>
          <w:szCs w:val="26"/>
        </w:rPr>
      </w:pPr>
      <w:r w:rsidRPr="009C4C13">
        <w:rPr>
          <w:rFonts w:ascii="Times New Roman" w:hAnsi="Times New Roman" w:cs="Times New Roman"/>
          <w:b/>
          <w:bCs/>
        </w:rPr>
        <w:tab/>
      </w:r>
      <w:r w:rsidRPr="57283B4A" w:rsidR="009C4C13">
        <w:rPr>
          <w:rFonts w:ascii="Times New Roman" w:hAnsi="Times New Roman" w:cs="Times New Roman"/>
          <w:b w:val="1"/>
          <w:bCs w:val="1"/>
          <w:sz w:val="26"/>
          <w:szCs w:val="26"/>
        </w:rPr>
        <w:t xml:space="preserve">I FURTHER CERTIFY </w:t>
      </w:r>
      <w:r w:rsidRPr="57283B4A" w:rsidR="009C4C13">
        <w:rPr>
          <w:rFonts w:ascii="Times New Roman" w:hAnsi="Times New Roman" w:cs="Times New Roman"/>
          <w:sz w:val="26"/>
          <w:szCs w:val="26"/>
        </w:rPr>
        <w:t>that on such date I served the foregoing on the following non-CM/ECF Participants in the manner indicated:</w:t>
      </w:r>
    </w:p>
    <w:p w:rsidRPr="009C4C13" w:rsidR="009C4C13" w:rsidP="57283B4A" w:rsidRDefault="009C4C13" w14:paraId="05D8D369" w14:textId="77777777">
      <w:pPr>
        <w:pStyle w:val="Default"/>
        <w:rPr>
          <w:rFonts w:ascii="Times New Roman" w:hAnsi="Times New Roman" w:cs="Times New Roman"/>
          <w:sz w:val="26"/>
          <w:szCs w:val="26"/>
        </w:rPr>
      </w:pPr>
    </w:p>
    <w:p w:rsidRPr="009C4C13" w:rsidR="009C4C13" w:rsidP="57283B4A" w:rsidRDefault="009C4C13" w14:paraId="6A33093E" w14:textId="77777777">
      <w:pPr>
        <w:pStyle w:val="Default"/>
        <w:rPr>
          <w:rFonts w:ascii="Times New Roman" w:hAnsi="Times New Roman" w:cs="Times New Roman"/>
          <w:sz w:val="26"/>
          <w:szCs w:val="26"/>
        </w:rPr>
      </w:pPr>
      <w:r w:rsidRPr="57283B4A" w:rsidR="009C4C13">
        <w:rPr>
          <w:rFonts w:ascii="Times New Roman" w:hAnsi="Times New Roman" w:cs="Times New Roman"/>
          <w:sz w:val="26"/>
          <w:szCs w:val="26"/>
          <w:highlight w:val="yellow"/>
        </w:rPr>
        <w:t>[“n/a” or “Via first class mail, postage prepaid, addressed as follows” with the addresses]</w:t>
      </w:r>
      <w:r w:rsidRPr="57283B4A" w:rsidR="009C4C13">
        <w:rPr>
          <w:rFonts w:ascii="Times New Roman" w:hAnsi="Times New Roman" w:cs="Times New Roman"/>
          <w:sz w:val="26"/>
          <w:szCs w:val="26"/>
        </w:rPr>
        <w:t xml:space="preserve"> </w:t>
      </w:r>
    </w:p>
    <w:p w:rsidRPr="009C4C13" w:rsidR="009C4C13" w:rsidP="57283B4A" w:rsidRDefault="009C4C13" w14:paraId="42F68A85" w14:textId="77777777">
      <w:pPr>
        <w:pStyle w:val="Default"/>
        <w:rPr>
          <w:rFonts w:ascii="Times New Roman" w:hAnsi="Times New Roman" w:cs="Times New Roman"/>
          <w:sz w:val="26"/>
          <w:szCs w:val="26"/>
        </w:rPr>
      </w:pPr>
    </w:p>
    <w:p w:rsidRPr="009C4C13" w:rsidR="009C4C13" w:rsidP="57283B4A" w:rsidRDefault="009C4C13" w14:paraId="072CDD32" w14:textId="77777777">
      <w:pPr>
        <w:pStyle w:val="Default"/>
        <w:rPr>
          <w:rFonts w:ascii="Times New Roman" w:hAnsi="Times New Roman" w:cs="Times New Roman"/>
          <w:sz w:val="26"/>
          <w:szCs w:val="26"/>
        </w:rPr>
      </w:pPr>
    </w:p>
    <w:p w:rsidRPr="009C4C13" w:rsidR="009C4C13" w:rsidP="57283B4A" w:rsidRDefault="009C4C13" w14:paraId="5F2E8893" w14:textId="77777777">
      <w:pPr>
        <w:pStyle w:val="Default"/>
        <w:ind w:left="4500" w:firstLine="540"/>
        <w:rPr>
          <w:rFonts w:ascii="Times New Roman" w:hAnsi="Times New Roman" w:cs="Times New Roman"/>
          <w:sz w:val="26"/>
          <w:szCs w:val="26"/>
          <w:highlight w:val="yellow"/>
        </w:rPr>
      </w:pPr>
      <w:r w:rsidRPr="57283B4A" w:rsidR="009C4C13">
        <w:rPr>
          <w:rFonts w:ascii="Times New Roman" w:hAnsi="Times New Roman" w:cs="Times New Roman"/>
          <w:i w:val="1"/>
          <w:iCs w:val="1"/>
          <w:sz w:val="26"/>
          <w:szCs w:val="26"/>
          <w:u w:val="single"/>
        </w:rPr>
        <w:t xml:space="preserve">     </w:t>
      </w:r>
      <w:r w:rsidRPr="57283B4A" w:rsidR="009C4C13">
        <w:rPr>
          <w:rFonts w:ascii="Times New Roman" w:hAnsi="Times New Roman" w:cs="Times New Roman"/>
          <w:i w:val="1"/>
          <w:iCs w:val="1"/>
          <w:sz w:val="26"/>
          <w:szCs w:val="26"/>
          <w:highlight w:val="yellow"/>
          <w:u w:val="single"/>
        </w:rPr>
        <w:t>[signature]</w:t>
      </w:r>
      <w:r>
        <w:tab/>
      </w:r>
      <w:r w:rsidRPr="57283B4A" w:rsidR="009C4C13">
        <w:rPr>
          <w:rFonts w:ascii="Times New Roman" w:hAnsi="Times New Roman" w:cs="Times New Roman"/>
          <w:sz w:val="26"/>
          <w:szCs w:val="26"/>
          <w:highlight w:val="yellow"/>
        </w:rPr>
        <w:t xml:space="preserve">                              </w:t>
      </w:r>
    </w:p>
    <w:p w:rsidRPr="009C4C13" w:rsidR="009C4C13" w:rsidP="57283B4A" w:rsidRDefault="009C4C13" w14:paraId="173A5F33" w14:textId="77777777">
      <w:pPr>
        <w:pStyle w:val="Default"/>
        <w:ind w:left="4500" w:firstLine="540"/>
        <w:rPr>
          <w:rFonts w:ascii="Times New Roman" w:hAnsi="Times New Roman" w:cs="Times New Roman"/>
          <w:sz w:val="26"/>
          <w:szCs w:val="26"/>
        </w:rPr>
      </w:pPr>
      <w:r w:rsidRPr="57283B4A" w:rsidR="009C4C13">
        <w:rPr>
          <w:rFonts w:ascii="Times New Roman" w:hAnsi="Times New Roman" w:cs="Times New Roman"/>
          <w:sz w:val="26"/>
          <w:szCs w:val="26"/>
          <w:highlight w:val="yellow"/>
        </w:rPr>
        <w:t>[Name]</w:t>
      </w:r>
      <w:r w:rsidRPr="57283B4A" w:rsidR="009C4C13">
        <w:rPr>
          <w:rFonts w:ascii="Times New Roman" w:hAnsi="Times New Roman" w:cs="Times New Roman"/>
          <w:sz w:val="26"/>
          <w:szCs w:val="26"/>
        </w:rPr>
        <w:t xml:space="preserve"> </w:t>
      </w:r>
    </w:p>
    <w:p w:rsidRPr="009C4C13" w:rsidR="009C4C13" w:rsidP="57283B4A" w:rsidRDefault="009C4C13" w14:paraId="3562DB4E" w14:textId="77777777">
      <w:pPr>
        <w:spacing w:after="0" w:line="240" w:lineRule="auto"/>
        <w:ind w:left="4500" w:firstLine="540"/>
        <w:rPr>
          <w:rFonts w:ascii="Times New Roman" w:hAnsi="Times New Roman" w:cs="Times New Roman"/>
          <w:sz w:val="26"/>
          <w:szCs w:val="26"/>
        </w:rPr>
      </w:pPr>
      <w:r w:rsidRPr="57283B4A" w:rsidR="009C4C13">
        <w:rPr>
          <w:rFonts w:ascii="Times New Roman" w:hAnsi="Times New Roman" w:cs="Times New Roman"/>
          <w:sz w:val="26"/>
          <w:szCs w:val="26"/>
        </w:rPr>
        <w:t>Counsel for Petitioner</w:t>
      </w:r>
    </w:p>
    <w:p w:rsidRPr="009C4C13" w:rsidR="00E04A55" w:rsidP="57283B4A" w:rsidRDefault="00E04A55" w14:paraId="7EC4BF4B" w14:textId="074587DF">
      <w:pPr>
        <w:pStyle w:val="BodyText"/>
        <w:tabs>
          <w:tab w:val="left" w:pos="5879"/>
        </w:tabs>
        <w:rPr>
          <w:b w:val="1"/>
          <w:bCs w:val="1"/>
          <w:sz w:val="26"/>
          <w:szCs w:val="26"/>
        </w:rPr>
      </w:pPr>
    </w:p>
    <w:sectPr w:rsidRPr="009C4C13" w:rsidR="00E04A55">
      <w:footerReference w:type="default" r:id="rId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1678" w:rsidP="00677E46" w:rsidRDefault="00291678" w14:paraId="3F1C161C" w14:textId="77777777">
      <w:pPr>
        <w:spacing w:after="0" w:line="240" w:lineRule="auto"/>
      </w:pPr>
      <w:r>
        <w:separator/>
      </w:r>
    </w:p>
  </w:endnote>
  <w:endnote w:type="continuationSeparator" w:id="0">
    <w:p w:rsidR="00291678" w:rsidP="00677E46" w:rsidRDefault="00291678" w14:paraId="2877C79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328159"/>
      <w:docPartObj>
        <w:docPartGallery w:val="Page Numbers (Bottom of Page)"/>
        <w:docPartUnique/>
      </w:docPartObj>
    </w:sdtPr>
    <w:sdtEndPr>
      <w:rPr>
        <w:noProof/>
      </w:rPr>
    </w:sdtEndPr>
    <w:sdtContent>
      <w:p w:rsidR="00677E46" w:rsidRDefault="00677E46" w14:paraId="103EA1CC" w14:textId="056A4BEA">
        <w:pPr>
          <w:pStyle w:val="Footer"/>
          <w:jc w:val="center"/>
        </w:pPr>
        <w:r w:rsidRPr="00677E46">
          <w:rPr>
            <w:rFonts w:ascii="Times New Roman" w:hAnsi="Times New Roman" w:cs="Times New Roman"/>
          </w:rPr>
          <w:fldChar w:fldCharType="begin"/>
        </w:r>
        <w:r w:rsidRPr="00677E46">
          <w:rPr>
            <w:rFonts w:ascii="Times New Roman" w:hAnsi="Times New Roman" w:cs="Times New Roman"/>
          </w:rPr>
          <w:instrText xml:space="preserve"> PAGE   \* MERGEFORMAT </w:instrText>
        </w:r>
        <w:r w:rsidRPr="00677E46">
          <w:rPr>
            <w:rFonts w:ascii="Times New Roman" w:hAnsi="Times New Roman" w:cs="Times New Roman"/>
          </w:rPr>
          <w:fldChar w:fldCharType="separate"/>
        </w:r>
        <w:r w:rsidRPr="00677E46">
          <w:rPr>
            <w:rFonts w:ascii="Times New Roman" w:hAnsi="Times New Roman" w:cs="Times New Roman"/>
            <w:noProof/>
          </w:rPr>
          <w:t>2</w:t>
        </w:r>
        <w:r w:rsidRPr="00677E46">
          <w:rPr>
            <w:rFonts w:ascii="Times New Roman" w:hAnsi="Times New Roman" w:cs="Times New Roman"/>
            <w:noProof/>
          </w:rPr>
          <w:fldChar w:fldCharType="end"/>
        </w:r>
      </w:p>
    </w:sdtContent>
  </w:sdt>
  <w:p w:rsidR="00677E46" w:rsidRDefault="00677E46" w14:paraId="22BA15F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1678" w:rsidP="00677E46" w:rsidRDefault="00291678" w14:paraId="2E6CEFFF" w14:textId="77777777">
      <w:pPr>
        <w:spacing w:after="0" w:line="240" w:lineRule="auto"/>
      </w:pPr>
      <w:r>
        <w:separator/>
      </w:r>
    </w:p>
  </w:footnote>
  <w:footnote w:type="continuationSeparator" w:id="0">
    <w:p w:rsidR="00291678" w:rsidP="00677E46" w:rsidRDefault="00291678" w14:paraId="4287EB2C" w14:textId="77777777">
      <w:pPr>
        <w:spacing w:after="0" w:line="240" w:lineRule="auto"/>
      </w:pPr>
      <w:r>
        <w:continuationSeparator/>
      </w:r>
    </w:p>
  </w:footnote>
  <w:footnote w:id="1">
    <w:p w:rsidRPr="00AF5C44" w:rsidR="00B03C5D" w:rsidP="00AF5C44" w:rsidRDefault="00B03C5D" w14:paraId="5B295560" w14:textId="012AC6E2">
      <w:pPr>
        <w:pStyle w:val="FootnoteText"/>
        <w:jc w:val="both"/>
        <w:rPr>
          <w:rFonts w:ascii="Times New Roman" w:hAnsi="Times New Roman" w:cs="Times New Roman"/>
          <w:i/>
          <w:iCs/>
          <w:sz w:val="24"/>
          <w:szCs w:val="24"/>
        </w:rPr>
      </w:pPr>
      <w:r w:rsidRPr="00AF5C44">
        <w:rPr>
          <w:rStyle w:val="FootnoteReference"/>
          <w:rFonts w:ascii="Times New Roman" w:hAnsi="Times New Roman" w:cs="Times New Roman"/>
          <w:sz w:val="24"/>
          <w:szCs w:val="24"/>
        </w:rPr>
        <w:footnoteRef/>
      </w:r>
      <w:r w:rsidRPr="00AF5C44">
        <w:rPr>
          <w:rFonts w:ascii="Times New Roman" w:hAnsi="Times New Roman" w:cs="Times New Roman"/>
          <w:sz w:val="24"/>
          <w:szCs w:val="24"/>
        </w:rPr>
        <w:t xml:space="preserve"> </w:t>
      </w:r>
      <w:r w:rsidRPr="00AF5C44" w:rsidR="00A21267">
        <w:rPr>
          <w:rFonts w:ascii="Times New Roman" w:hAnsi="Times New Roman" w:cs="Times New Roman"/>
          <w:sz w:val="24"/>
          <w:szCs w:val="24"/>
        </w:rPr>
        <w:t xml:space="preserve">U.S. Imm. &amp; Customs Enf’t, Directive No. 11022.1 </w:t>
      </w:r>
      <w:r w:rsidRPr="00AF5C44" w:rsidR="00756A4D">
        <w:rPr>
          <w:rFonts w:ascii="Times New Roman" w:hAnsi="Times New Roman" w:cs="Times New Roman"/>
          <w:sz w:val="24"/>
          <w:szCs w:val="24"/>
        </w:rPr>
        <w:t>“</w:t>
      </w:r>
      <w:r w:rsidRPr="00AF5C44" w:rsidR="00A21267">
        <w:rPr>
          <w:rFonts w:ascii="Times New Roman" w:hAnsi="Times New Roman" w:cs="Times New Roman"/>
          <w:sz w:val="24"/>
          <w:szCs w:val="24"/>
        </w:rPr>
        <w:t>Detainee Transfers</w:t>
      </w:r>
      <w:r w:rsidRPr="00AF5C44" w:rsidR="00756A4D">
        <w:rPr>
          <w:rFonts w:ascii="Times New Roman" w:hAnsi="Times New Roman" w:cs="Times New Roman"/>
          <w:sz w:val="24"/>
          <w:szCs w:val="24"/>
        </w:rPr>
        <w:t>”</w:t>
      </w:r>
      <w:r w:rsidRPr="00AF5C44" w:rsidR="00A21267">
        <w:rPr>
          <w:rFonts w:ascii="Times New Roman" w:hAnsi="Times New Roman" w:cs="Times New Roman"/>
          <w:sz w:val="24"/>
          <w:szCs w:val="24"/>
        </w:rPr>
        <w:t xml:space="preserve"> (</w:t>
      </w:r>
      <w:r w:rsidRPr="00AF5C44" w:rsidR="00756A4D">
        <w:rPr>
          <w:rFonts w:ascii="Times New Roman" w:hAnsi="Times New Roman" w:cs="Times New Roman"/>
          <w:sz w:val="24"/>
          <w:szCs w:val="24"/>
        </w:rPr>
        <w:t>issued Jan. 4, 2012</w:t>
      </w:r>
      <w:r w:rsidRPr="00AF5C44" w:rsidR="00A21267">
        <w:rPr>
          <w:rFonts w:ascii="Times New Roman" w:hAnsi="Times New Roman" w:cs="Times New Roman"/>
          <w:sz w:val="24"/>
          <w:szCs w:val="24"/>
        </w:rPr>
        <w:t xml:space="preserve">), </w:t>
      </w:r>
      <w:hyperlink w:history="1" r:id="rId1">
        <w:r w:rsidRPr="00AF5C44" w:rsidR="00A21267">
          <w:rPr>
            <w:rStyle w:val="Hyperlink"/>
            <w:rFonts w:ascii="Times New Roman" w:hAnsi="Times New Roman" w:cs="Times New Roman"/>
            <w:sz w:val="24"/>
            <w:szCs w:val="24"/>
          </w:rPr>
          <w:t>https://www.ice.gov/node/65009</w:t>
        </w:r>
      </w:hyperlink>
      <w:r w:rsidRPr="00AF5C44" w:rsidR="00A21267">
        <w:rPr>
          <w:rFonts w:ascii="Times New Roman" w:hAnsi="Times New Roman" w:cs="Times New Roman"/>
          <w:sz w:val="24"/>
          <w:szCs w:val="24"/>
        </w:rPr>
        <w:t xml:space="preserve">. </w:t>
      </w:r>
    </w:p>
  </w:footnote>
  <w:footnote w:id="2">
    <w:p w:rsidRPr="00AF5C44" w:rsidR="00484D90" w:rsidP="00AF5C44" w:rsidRDefault="00484D90" w14:paraId="4381CB83" w14:textId="1E30F6CD">
      <w:pPr>
        <w:pStyle w:val="FootnoteText"/>
        <w:jc w:val="both"/>
        <w:rPr>
          <w:rFonts w:ascii="Times New Roman" w:hAnsi="Times New Roman" w:cs="Times New Roman"/>
          <w:sz w:val="24"/>
          <w:szCs w:val="24"/>
        </w:rPr>
      </w:pPr>
      <w:r w:rsidRPr="00AF5C44">
        <w:rPr>
          <w:rStyle w:val="FootnoteReference"/>
          <w:rFonts w:ascii="Times New Roman" w:hAnsi="Times New Roman" w:cs="Times New Roman"/>
          <w:sz w:val="24"/>
          <w:szCs w:val="24"/>
        </w:rPr>
        <w:footnoteRef/>
      </w:r>
      <w:r w:rsidRPr="00AF5C44">
        <w:rPr>
          <w:rFonts w:ascii="Times New Roman" w:hAnsi="Times New Roman" w:cs="Times New Roman"/>
          <w:sz w:val="24"/>
          <w:szCs w:val="24"/>
        </w:rPr>
        <w:t xml:space="preserve"> U.S. </w:t>
      </w:r>
      <w:r w:rsidRPr="00AF5C44" w:rsidR="0086569F">
        <w:rPr>
          <w:rFonts w:ascii="Times New Roman" w:hAnsi="Times New Roman" w:cs="Times New Roman"/>
          <w:sz w:val="24"/>
          <w:szCs w:val="24"/>
        </w:rPr>
        <w:t>Citizenship &amp; Imm. Servs.</w:t>
      </w:r>
      <w:r w:rsidRPr="00AF5C44">
        <w:rPr>
          <w:rFonts w:ascii="Times New Roman" w:hAnsi="Times New Roman" w:cs="Times New Roman"/>
          <w:sz w:val="24"/>
          <w:szCs w:val="24"/>
        </w:rPr>
        <w:t>,</w:t>
      </w:r>
      <w:r w:rsidRPr="00AF5C44" w:rsidR="0086569F">
        <w:rPr>
          <w:rFonts w:ascii="Times New Roman" w:hAnsi="Times New Roman" w:cs="Times New Roman"/>
          <w:sz w:val="24"/>
          <w:szCs w:val="24"/>
        </w:rPr>
        <w:t xml:space="preserve"> </w:t>
      </w:r>
      <w:r w:rsidRPr="00AF5C44" w:rsidR="00CC7552">
        <w:rPr>
          <w:rFonts w:ascii="Times New Roman" w:hAnsi="Times New Roman" w:cs="Times New Roman"/>
          <w:sz w:val="24"/>
          <w:szCs w:val="24"/>
        </w:rPr>
        <w:t>Form G-28 “Notice of Entry of Appearance as Attorney or Accredited Representative”</w:t>
      </w:r>
      <w:r w:rsidRPr="00AF5C44">
        <w:rPr>
          <w:rFonts w:ascii="Times New Roman" w:hAnsi="Times New Roman" w:cs="Times New Roman"/>
          <w:sz w:val="24"/>
          <w:szCs w:val="24"/>
        </w:rPr>
        <w:t xml:space="preserve"> (</w:t>
      </w:r>
      <w:r w:rsidRPr="00AF5C44" w:rsidR="00CC7552">
        <w:rPr>
          <w:rFonts w:ascii="Times New Roman" w:hAnsi="Times New Roman" w:cs="Times New Roman"/>
          <w:sz w:val="24"/>
          <w:szCs w:val="24"/>
        </w:rPr>
        <w:t>Sept. 17, 2018</w:t>
      </w:r>
      <w:r w:rsidRPr="00AF5C44">
        <w:rPr>
          <w:rFonts w:ascii="Times New Roman" w:hAnsi="Times New Roman" w:cs="Times New Roman"/>
          <w:sz w:val="24"/>
          <w:szCs w:val="24"/>
        </w:rPr>
        <w:t xml:space="preserve">), </w:t>
      </w:r>
      <w:hyperlink w:history="1" r:id="rId2">
        <w:r w:rsidRPr="00AF5C44" w:rsidR="0086569F">
          <w:rPr>
            <w:rStyle w:val="Hyperlink"/>
            <w:rFonts w:ascii="Times New Roman" w:hAnsi="Times New Roman" w:cs="Times New Roman"/>
            <w:sz w:val="24"/>
            <w:szCs w:val="24"/>
          </w:rPr>
          <w:t>https://www.uscis.gov/g-28</w:t>
        </w:r>
      </w:hyperlink>
      <w:r w:rsidRPr="00AF5C44" w:rsidR="0086569F">
        <w:rPr>
          <w:rFonts w:ascii="Times New Roman" w:hAnsi="Times New Roman" w:cs="Times New Roman"/>
          <w:sz w:val="24"/>
          <w:szCs w:val="24"/>
        </w:rPr>
        <w:t xml:space="preserve"> (</w:t>
      </w:r>
      <w:r w:rsidRPr="00AF5C44" w:rsidR="00CC7552">
        <w:rPr>
          <w:rFonts w:ascii="Times New Roman" w:hAnsi="Times New Roman" w:cs="Times New Roman"/>
          <w:sz w:val="24"/>
          <w:szCs w:val="24"/>
        </w:rPr>
        <w:t xml:space="preserve">instructing that </w:t>
      </w:r>
      <w:r w:rsidRPr="00AF5C44" w:rsidR="00C6450F">
        <w:rPr>
          <w:rFonts w:ascii="Times New Roman" w:hAnsi="Times New Roman" w:cs="Times New Roman"/>
          <w:sz w:val="24"/>
          <w:szCs w:val="24"/>
        </w:rPr>
        <w:t>Form G-28 is to be used “to establish the eligibility of an attorney or accredited representative to represent a client … in an immigration matter before U.S. Department of Homeland Security”</w:t>
      </w:r>
      <w:r w:rsidRPr="00AF5C44" w:rsidR="0086569F">
        <w:rPr>
          <w:rFonts w:ascii="Times New Roman" w:hAnsi="Times New Roman" w:cs="Times New Roman"/>
          <w:sz w:val="24"/>
          <w:szCs w:val="24"/>
        </w:rPr>
        <w:t>).</w:t>
      </w:r>
    </w:p>
  </w:footnote>
  <w:footnote w:id="3">
    <w:p w:rsidRPr="00AF5C44" w:rsidR="003F0F57" w:rsidP="00AF5C44" w:rsidRDefault="003F0F57" w14:paraId="32582145" w14:textId="09893948">
      <w:pPr>
        <w:pStyle w:val="FootnoteText"/>
        <w:jc w:val="both"/>
        <w:rPr>
          <w:rFonts w:ascii="Times New Roman" w:hAnsi="Times New Roman" w:cs="Times New Roman"/>
          <w:sz w:val="24"/>
          <w:szCs w:val="24"/>
        </w:rPr>
      </w:pPr>
      <w:r w:rsidRPr="00AF5C44">
        <w:rPr>
          <w:rStyle w:val="FootnoteReference"/>
          <w:rFonts w:ascii="Times New Roman" w:hAnsi="Times New Roman" w:cs="Times New Roman"/>
          <w:sz w:val="24"/>
          <w:szCs w:val="24"/>
        </w:rPr>
        <w:footnoteRef/>
      </w:r>
      <w:r w:rsidRPr="00AF5C44">
        <w:rPr>
          <w:rFonts w:ascii="Times New Roman" w:hAnsi="Times New Roman" w:cs="Times New Roman"/>
          <w:sz w:val="24"/>
          <w:szCs w:val="24"/>
        </w:rPr>
        <w:t xml:space="preserve"> </w:t>
      </w:r>
      <w:r w:rsidRPr="00AF5C44">
        <w:rPr>
          <w:rFonts w:ascii="Times New Roman" w:hAnsi="Times New Roman" w:cs="Times New Roman"/>
          <w:i/>
          <w:iCs/>
          <w:sz w:val="24"/>
          <w:szCs w:val="24"/>
        </w:rPr>
        <w:t>See</w:t>
      </w:r>
      <w:r w:rsidRPr="00AF5C44" w:rsidR="00AF5C44">
        <w:rPr>
          <w:rFonts w:ascii="Times New Roman" w:hAnsi="Times New Roman" w:cs="Times New Roman"/>
          <w:i/>
          <w:iCs/>
          <w:sz w:val="24"/>
          <w:szCs w:val="24"/>
        </w:rPr>
        <w:t xml:space="preserve"> generally</w:t>
      </w:r>
      <w:r w:rsidRPr="00AF5C44">
        <w:rPr>
          <w:rFonts w:ascii="Times New Roman" w:hAnsi="Times New Roman" w:cs="Times New Roman"/>
          <w:sz w:val="24"/>
          <w:szCs w:val="24"/>
        </w:rPr>
        <w:t xml:space="preserve"> Human Rights Watch,</w:t>
      </w:r>
      <w:r w:rsidR="005211E4">
        <w:rPr>
          <w:rFonts w:ascii="Times New Roman" w:hAnsi="Times New Roman" w:cs="Times New Roman"/>
          <w:sz w:val="24"/>
          <w:szCs w:val="24"/>
        </w:rPr>
        <w:t xml:space="preserve"> </w:t>
      </w:r>
      <w:r w:rsidR="005211E4">
        <w:rPr>
          <w:rFonts w:ascii="Times New Roman" w:hAnsi="Times New Roman" w:cs="Times New Roman"/>
          <w:smallCaps/>
          <w:sz w:val="24"/>
          <w:szCs w:val="24"/>
        </w:rPr>
        <w:t>Locked Up Far Away: The Transfer of Immigrants to Remote Detention Centers in the United States</w:t>
      </w:r>
      <w:r w:rsidRPr="00AF5C44">
        <w:rPr>
          <w:rFonts w:ascii="Times New Roman" w:hAnsi="Times New Roman" w:cs="Times New Roman"/>
          <w:sz w:val="24"/>
          <w:szCs w:val="24"/>
        </w:rPr>
        <w:t xml:space="preserve"> </w:t>
      </w:r>
      <w:r w:rsidRPr="00AF5C44" w:rsidR="00AF5C44">
        <w:rPr>
          <w:rFonts w:ascii="Times New Roman" w:hAnsi="Times New Roman" w:cs="Times New Roman"/>
          <w:sz w:val="24"/>
          <w:szCs w:val="24"/>
        </w:rPr>
        <w:t>(</w:t>
      </w:r>
      <w:r w:rsidR="005211E4">
        <w:rPr>
          <w:rFonts w:ascii="Times New Roman" w:hAnsi="Times New Roman" w:cs="Times New Roman"/>
          <w:sz w:val="24"/>
          <w:szCs w:val="24"/>
        </w:rPr>
        <w:t>2009</w:t>
      </w:r>
      <w:r w:rsidRPr="00AF5C44" w:rsidR="00AF5C44">
        <w:rPr>
          <w:rFonts w:ascii="Times New Roman" w:hAnsi="Times New Roman" w:cs="Times New Roman"/>
          <w:sz w:val="24"/>
          <w:szCs w:val="24"/>
        </w:rPr>
        <w:t xml:space="preserve">), </w:t>
      </w:r>
      <w:hyperlink w:history="1" r:id="rId3">
        <w:r w:rsidRPr="00AF5C44" w:rsidR="00AF5C44">
          <w:rPr>
            <w:rStyle w:val="Hyperlink"/>
            <w:rFonts w:ascii="Times New Roman" w:hAnsi="Times New Roman" w:cs="Times New Roman"/>
            <w:sz w:val="24"/>
            <w:szCs w:val="24"/>
          </w:rPr>
          <w:t>https://www.hrw.org/report/2009/12/02/locked-far-away/transfer-immigrants-remote-detention-centers-united-states</w:t>
        </w:r>
      </w:hyperlink>
      <w:r w:rsidRPr="00AF5C44" w:rsidR="00AF5C44">
        <w:rPr>
          <w:rFonts w:ascii="Times New Roman" w:hAnsi="Times New Roman" w:cs="Times New Roman"/>
          <w:sz w:val="24"/>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0083A"/>
    <w:multiLevelType w:val="hybridMultilevel"/>
    <w:tmpl w:val="99141A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6D20EB"/>
    <w:multiLevelType w:val="hybridMultilevel"/>
    <w:tmpl w:val="C50CFF80"/>
    <w:lvl w:ilvl="0" w:tplc="95DA3968">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E62F16"/>
    <w:multiLevelType w:val="hybridMultilevel"/>
    <w:tmpl w:val="AF248EA0"/>
    <w:lvl w:ilvl="0" w:tplc="2B5CC49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796803"/>
    <w:multiLevelType w:val="hybridMultilevel"/>
    <w:tmpl w:val="26166A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704807">
    <w:abstractNumId w:val="1"/>
  </w:num>
  <w:num w:numId="2" w16cid:durableId="796796651">
    <w:abstractNumId w:val="0"/>
  </w:num>
  <w:num w:numId="3" w16cid:durableId="1895584453">
    <w:abstractNumId w:val="3"/>
  </w:num>
  <w:num w:numId="4" w16cid:durableId="27455914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removePersonalInformation/>
  <w:removeDateAndTime/>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162"/>
    <w:rsid w:val="00003EEB"/>
    <w:rsid w:val="0002057B"/>
    <w:rsid w:val="0003578D"/>
    <w:rsid w:val="000515FB"/>
    <w:rsid w:val="00061F72"/>
    <w:rsid w:val="000720BE"/>
    <w:rsid w:val="00080447"/>
    <w:rsid w:val="000B1E6D"/>
    <w:rsid w:val="000B3B43"/>
    <w:rsid w:val="000C6231"/>
    <w:rsid w:val="000D4CD2"/>
    <w:rsid w:val="000E11B5"/>
    <w:rsid w:val="000E227D"/>
    <w:rsid w:val="000E7C85"/>
    <w:rsid w:val="000F4659"/>
    <w:rsid w:val="000F7BC8"/>
    <w:rsid w:val="00107257"/>
    <w:rsid w:val="001270E2"/>
    <w:rsid w:val="00134DAE"/>
    <w:rsid w:val="0013588B"/>
    <w:rsid w:val="00145BE3"/>
    <w:rsid w:val="001642F7"/>
    <w:rsid w:val="001777E8"/>
    <w:rsid w:val="001811EA"/>
    <w:rsid w:val="001B3637"/>
    <w:rsid w:val="001D5D9A"/>
    <w:rsid w:val="001E4358"/>
    <w:rsid w:val="001F705E"/>
    <w:rsid w:val="002066F1"/>
    <w:rsid w:val="00211FA6"/>
    <w:rsid w:val="00212473"/>
    <w:rsid w:val="00222D54"/>
    <w:rsid w:val="00236DDB"/>
    <w:rsid w:val="00274904"/>
    <w:rsid w:val="00287D50"/>
    <w:rsid w:val="00291678"/>
    <w:rsid w:val="00295EFD"/>
    <w:rsid w:val="002B4C56"/>
    <w:rsid w:val="002B53D0"/>
    <w:rsid w:val="002B7A72"/>
    <w:rsid w:val="002C0A3E"/>
    <w:rsid w:val="002C1965"/>
    <w:rsid w:val="002D3E87"/>
    <w:rsid w:val="002F3090"/>
    <w:rsid w:val="00301D6A"/>
    <w:rsid w:val="0030402E"/>
    <w:rsid w:val="00334131"/>
    <w:rsid w:val="00345589"/>
    <w:rsid w:val="00354155"/>
    <w:rsid w:val="0037445C"/>
    <w:rsid w:val="00376590"/>
    <w:rsid w:val="00394EE0"/>
    <w:rsid w:val="003A1955"/>
    <w:rsid w:val="003A438D"/>
    <w:rsid w:val="003C4979"/>
    <w:rsid w:val="003D5FB4"/>
    <w:rsid w:val="003F0F57"/>
    <w:rsid w:val="00421E4E"/>
    <w:rsid w:val="0043612F"/>
    <w:rsid w:val="00440775"/>
    <w:rsid w:val="00442BE2"/>
    <w:rsid w:val="00484D90"/>
    <w:rsid w:val="00490252"/>
    <w:rsid w:val="00495B32"/>
    <w:rsid w:val="00497813"/>
    <w:rsid w:val="004A0F68"/>
    <w:rsid w:val="004B5D58"/>
    <w:rsid w:val="004B7738"/>
    <w:rsid w:val="004C2F54"/>
    <w:rsid w:val="004D6756"/>
    <w:rsid w:val="004D75BE"/>
    <w:rsid w:val="004D7DE7"/>
    <w:rsid w:val="005211E4"/>
    <w:rsid w:val="00521E44"/>
    <w:rsid w:val="00533DBC"/>
    <w:rsid w:val="0053477C"/>
    <w:rsid w:val="00536CFC"/>
    <w:rsid w:val="00537A3D"/>
    <w:rsid w:val="0054106C"/>
    <w:rsid w:val="005456DA"/>
    <w:rsid w:val="00551E64"/>
    <w:rsid w:val="00552B7A"/>
    <w:rsid w:val="00555839"/>
    <w:rsid w:val="00571F0C"/>
    <w:rsid w:val="0057358A"/>
    <w:rsid w:val="005A2BA2"/>
    <w:rsid w:val="005C367D"/>
    <w:rsid w:val="005D2D39"/>
    <w:rsid w:val="005D4D02"/>
    <w:rsid w:val="005F13A8"/>
    <w:rsid w:val="0060787B"/>
    <w:rsid w:val="006124E5"/>
    <w:rsid w:val="006267F1"/>
    <w:rsid w:val="00626BE8"/>
    <w:rsid w:val="00630446"/>
    <w:rsid w:val="00632E18"/>
    <w:rsid w:val="006355D6"/>
    <w:rsid w:val="006451FD"/>
    <w:rsid w:val="0065354B"/>
    <w:rsid w:val="006540B4"/>
    <w:rsid w:val="0065450A"/>
    <w:rsid w:val="00676053"/>
    <w:rsid w:val="00677E46"/>
    <w:rsid w:val="00685EE9"/>
    <w:rsid w:val="00695889"/>
    <w:rsid w:val="006A0C0C"/>
    <w:rsid w:val="006B429D"/>
    <w:rsid w:val="006B65AF"/>
    <w:rsid w:val="006B6EF1"/>
    <w:rsid w:val="006F750E"/>
    <w:rsid w:val="007049FC"/>
    <w:rsid w:val="0075440B"/>
    <w:rsid w:val="00756A46"/>
    <w:rsid w:val="00756A4D"/>
    <w:rsid w:val="007736BB"/>
    <w:rsid w:val="007876DB"/>
    <w:rsid w:val="007A0F09"/>
    <w:rsid w:val="007A5693"/>
    <w:rsid w:val="007B06A0"/>
    <w:rsid w:val="007B2C00"/>
    <w:rsid w:val="007C2A0B"/>
    <w:rsid w:val="007F2E43"/>
    <w:rsid w:val="007F6BF8"/>
    <w:rsid w:val="008001A5"/>
    <w:rsid w:val="008129AE"/>
    <w:rsid w:val="00825297"/>
    <w:rsid w:val="00830790"/>
    <w:rsid w:val="00830ADB"/>
    <w:rsid w:val="00846894"/>
    <w:rsid w:val="00846CD0"/>
    <w:rsid w:val="0086569F"/>
    <w:rsid w:val="00883863"/>
    <w:rsid w:val="00887F52"/>
    <w:rsid w:val="008967BA"/>
    <w:rsid w:val="008B2FDF"/>
    <w:rsid w:val="008B5A6E"/>
    <w:rsid w:val="008D1CC5"/>
    <w:rsid w:val="008E0E93"/>
    <w:rsid w:val="008E2324"/>
    <w:rsid w:val="008E742A"/>
    <w:rsid w:val="008F5635"/>
    <w:rsid w:val="00900671"/>
    <w:rsid w:val="00903F66"/>
    <w:rsid w:val="00906A8E"/>
    <w:rsid w:val="00950C96"/>
    <w:rsid w:val="00993C30"/>
    <w:rsid w:val="00995CC5"/>
    <w:rsid w:val="0099635E"/>
    <w:rsid w:val="009A30A7"/>
    <w:rsid w:val="009C4C13"/>
    <w:rsid w:val="009D6EC7"/>
    <w:rsid w:val="009E1CE3"/>
    <w:rsid w:val="009F101A"/>
    <w:rsid w:val="009F16CC"/>
    <w:rsid w:val="00A17EBF"/>
    <w:rsid w:val="00A200A9"/>
    <w:rsid w:val="00A21267"/>
    <w:rsid w:val="00A23C6B"/>
    <w:rsid w:val="00A31B79"/>
    <w:rsid w:val="00A3689D"/>
    <w:rsid w:val="00A44E00"/>
    <w:rsid w:val="00A54BB6"/>
    <w:rsid w:val="00A6133C"/>
    <w:rsid w:val="00A67A77"/>
    <w:rsid w:val="00A7217B"/>
    <w:rsid w:val="00A7636A"/>
    <w:rsid w:val="00AC6C17"/>
    <w:rsid w:val="00AC72F2"/>
    <w:rsid w:val="00AD6616"/>
    <w:rsid w:val="00AF5C44"/>
    <w:rsid w:val="00B03C5D"/>
    <w:rsid w:val="00B12977"/>
    <w:rsid w:val="00B311F2"/>
    <w:rsid w:val="00B3220D"/>
    <w:rsid w:val="00B532DC"/>
    <w:rsid w:val="00B53D3B"/>
    <w:rsid w:val="00B54F3E"/>
    <w:rsid w:val="00BB6432"/>
    <w:rsid w:val="00BE4E04"/>
    <w:rsid w:val="00BE5345"/>
    <w:rsid w:val="00BE56A3"/>
    <w:rsid w:val="00BE698E"/>
    <w:rsid w:val="00C07A21"/>
    <w:rsid w:val="00C10D85"/>
    <w:rsid w:val="00C273C9"/>
    <w:rsid w:val="00C35AA8"/>
    <w:rsid w:val="00C4795F"/>
    <w:rsid w:val="00C6192F"/>
    <w:rsid w:val="00C63FDB"/>
    <w:rsid w:val="00C6450F"/>
    <w:rsid w:val="00C7097D"/>
    <w:rsid w:val="00CA6413"/>
    <w:rsid w:val="00CC6E49"/>
    <w:rsid w:val="00CC7552"/>
    <w:rsid w:val="00CC7CC4"/>
    <w:rsid w:val="00D036FC"/>
    <w:rsid w:val="00D5058F"/>
    <w:rsid w:val="00D5266E"/>
    <w:rsid w:val="00D66EB8"/>
    <w:rsid w:val="00D906F5"/>
    <w:rsid w:val="00D97084"/>
    <w:rsid w:val="00DD3A8B"/>
    <w:rsid w:val="00DF2BB3"/>
    <w:rsid w:val="00DF3F2D"/>
    <w:rsid w:val="00E00BC1"/>
    <w:rsid w:val="00E04A55"/>
    <w:rsid w:val="00E16162"/>
    <w:rsid w:val="00E214E8"/>
    <w:rsid w:val="00E32835"/>
    <w:rsid w:val="00E34F25"/>
    <w:rsid w:val="00E35DF6"/>
    <w:rsid w:val="00E403CB"/>
    <w:rsid w:val="00E4447D"/>
    <w:rsid w:val="00E51810"/>
    <w:rsid w:val="00E5550C"/>
    <w:rsid w:val="00E64FFF"/>
    <w:rsid w:val="00E7741E"/>
    <w:rsid w:val="00E87BE2"/>
    <w:rsid w:val="00E95CCB"/>
    <w:rsid w:val="00E9636A"/>
    <w:rsid w:val="00EA375B"/>
    <w:rsid w:val="00EB6546"/>
    <w:rsid w:val="00EE08F7"/>
    <w:rsid w:val="00F016A8"/>
    <w:rsid w:val="00F02122"/>
    <w:rsid w:val="00F05CE3"/>
    <w:rsid w:val="00F07E61"/>
    <w:rsid w:val="00F62166"/>
    <w:rsid w:val="00F675FC"/>
    <w:rsid w:val="00F74D49"/>
    <w:rsid w:val="00F92353"/>
    <w:rsid w:val="00FB0BB4"/>
    <w:rsid w:val="00FD7E25"/>
    <w:rsid w:val="00FE6F77"/>
    <w:rsid w:val="00FF0D4C"/>
    <w:rsid w:val="31C4BE6F"/>
    <w:rsid w:val="57283B4A"/>
    <w:rsid w:val="7F325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EE377"/>
  <w15:chartTrackingRefBased/>
  <w15:docId w15:val="{76B9FED4-5D6C-424C-9D77-E77CD048A3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1616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616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61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61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61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61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1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1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16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1616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1616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1616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1616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1616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1616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1616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1616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16162"/>
    <w:rPr>
      <w:rFonts w:eastAsiaTheme="majorEastAsia" w:cstheme="majorBidi"/>
      <w:color w:val="272727" w:themeColor="text1" w:themeTint="D8"/>
    </w:rPr>
  </w:style>
  <w:style w:type="paragraph" w:styleId="Title">
    <w:name w:val="Title"/>
    <w:basedOn w:val="Normal"/>
    <w:next w:val="Normal"/>
    <w:link w:val="TitleChar"/>
    <w:uiPriority w:val="10"/>
    <w:qFormat/>
    <w:rsid w:val="00E1616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1616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1616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161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162"/>
    <w:pPr>
      <w:spacing w:before="160"/>
      <w:jc w:val="center"/>
    </w:pPr>
    <w:rPr>
      <w:i/>
      <w:iCs/>
      <w:color w:val="404040" w:themeColor="text1" w:themeTint="BF"/>
    </w:rPr>
  </w:style>
  <w:style w:type="character" w:styleId="QuoteChar" w:customStyle="1">
    <w:name w:val="Quote Char"/>
    <w:basedOn w:val="DefaultParagraphFont"/>
    <w:link w:val="Quote"/>
    <w:uiPriority w:val="29"/>
    <w:rsid w:val="00E16162"/>
    <w:rPr>
      <w:i/>
      <w:iCs/>
      <w:color w:val="404040" w:themeColor="text1" w:themeTint="BF"/>
    </w:rPr>
  </w:style>
  <w:style w:type="paragraph" w:styleId="ListParagraph">
    <w:name w:val="List Paragraph"/>
    <w:basedOn w:val="Normal"/>
    <w:uiPriority w:val="34"/>
    <w:qFormat/>
    <w:rsid w:val="00E16162"/>
    <w:pPr>
      <w:ind w:left="720"/>
      <w:contextualSpacing/>
    </w:pPr>
  </w:style>
  <w:style w:type="character" w:styleId="IntenseEmphasis">
    <w:name w:val="Intense Emphasis"/>
    <w:basedOn w:val="DefaultParagraphFont"/>
    <w:uiPriority w:val="21"/>
    <w:qFormat/>
    <w:rsid w:val="00E16162"/>
    <w:rPr>
      <w:i/>
      <w:iCs/>
      <w:color w:val="0F4761" w:themeColor="accent1" w:themeShade="BF"/>
    </w:rPr>
  </w:style>
  <w:style w:type="paragraph" w:styleId="IntenseQuote">
    <w:name w:val="Intense Quote"/>
    <w:basedOn w:val="Normal"/>
    <w:next w:val="Normal"/>
    <w:link w:val="IntenseQuoteChar"/>
    <w:uiPriority w:val="30"/>
    <w:qFormat/>
    <w:rsid w:val="00E1616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16162"/>
    <w:rPr>
      <w:i/>
      <w:iCs/>
      <w:color w:val="0F4761" w:themeColor="accent1" w:themeShade="BF"/>
    </w:rPr>
  </w:style>
  <w:style w:type="character" w:styleId="IntenseReference">
    <w:name w:val="Intense Reference"/>
    <w:basedOn w:val="DefaultParagraphFont"/>
    <w:uiPriority w:val="32"/>
    <w:qFormat/>
    <w:rsid w:val="00E16162"/>
    <w:rPr>
      <w:b/>
      <w:bCs/>
      <w:smallCaps/>
      <w:color w:val="0F4761" w:themeColor="accent1" w:themeShade="BF"/>
      <w:spacing w:val="5"/>
    </w:rPr>
  </w:style>
  <w:style w:type="paragraph" w:styleId="Header">
    <w:name w:val="header"/>
    <w:basedOn w:val="Normal"/>
    <w:link w:val="HeaderChar"/>
    <w:uiPriority w:val="99"/>
    <w:unhideWhenUsed/>
    <w:rsid w:val="00677E46"/>
    <w:pPr>
      <w:tabs>
        <w:tab w:val="center" w:pos="4680"/>
        <w:tab w:val="right" w:pos="9360"/>
      </w:tabs>
      <w:spacing w:after="0" w:line="240" w:lineRule="auto"/>
    </w:pPr>
  </w:style>
  <w:style w:type="character" w:styleId="HeaderChar" w:customStyle="1">
    <w:name w:val="Header Char"/>
    <w:basedOn w:val="DefaultParagraphFont"/>
    <w:link w:val="Header"/>
    <w:uiPriority w:val="99"/>
    <w:rsid w:val="00677E46"/>
  </w:style>
  <w:style w:type="paragraph" w:styleId="Footer">
    <w:name w:val="footer"/>
    <w:basedOn w:val="Normal"/>
    <w:link w:val="FooterChar"/>
    <w:uiPriority w:val="99"/>
    <w:unhideWhenUsed/>
    <w:rsid w:val="00677E46"/>
    <w:pPr>
      <w:tabs>
        <w:tab w:val="center" w:pos="4680"/>
        <w:tab w:val="right" w:pos="9360"/>
      </w:tabs>
      <w:spacing w:after="0" w:line="240" w:lineRule="auto"/>
    </w:pPr>
  </w:style>
  <w:style w:type="character" w:styleId="FooterChar" w:customStyle="1">
    <w:name w:val="Footer Char"/>
    <w:basedOn w:val="DefaultParagraphFont"/>
    <w:link w:val="Footer"/>
    <w:uiPriority w:val="99"/>
    <w:rsid w:val="00677E46"/>
  </w:style>
  <w:style w:type="paragraph" w:styleId="BodyText">
    <w:name w:val="Body Text"/>
    <w:basedOn w:val="Normal"/>
    <w:link w:val="BodyTextChar"/>
    <w:uiPriority w:val="1"/>
    <w:qFormat/>
    <w:rsid w:val="00E04A55"/>
    <w:pPr>
      <w:widowControl w:val="0"/>
      <w:autoSpaceDE w:val="0"/>
      <w:autoSpaceDN w:val="0"/>
      <w:spacing w:after="0" w:line="240" w:lineRule="auto"/>
    </w:pPr>
    <w:rPr>
      <w:rFonts w:ascii="Times New Roman" w:hAnsi="Times New Roman" w:eastAsia="Times New Roman" w:cs="Times New Roman"/>
      <w:kern w:val="0"/>
      <w14:ligatures w14:val="none"/>
    </w:rPr>
  </w:style>
  <w:style w:type="character" w:styleId="BodyTextChar" w:customStyle="1">
    <w:name w:val="Body Text Char"/>
    <w:basedOn w:val="DefaultParagraphFont"/>
    <w:link w:val="BodyText"/>
    <w:uiPriority w:val="1"/>
    <w:rsid w:val="00E04A55"/>
    <w:rPr>
      <w:rFonts w:ascii="Times New Roman" w:hAnsi="Times New Roman" w:eastAsia="Times New Roman" w:cs="Times New Roman"/>
      <w:kern w:val="0"/>
      <w14:ligatures w14:val="none"/>
    </w:rPr>
  </w:style>
  <w:style w:type="paragraph" w:styleId="paragraph" w:customStyle="1">
    <w:name w:val="paragraph"/>
    <w:basedOn w:val="Normal"/>
    <w:rsid w:val="00E04A55"/>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E04A55"/>
  </w:style>
  <w:style w:type="character" w:styleId="eop" w:customStyle="1">
    <w:name w:val="eop"/>
    <w:basedOn w:val="DefaultParagraphFont"/>
    <w:rsid w:val="00E04A55"/>
  </w:style>
  <w:style w:type="character" w:styleId="CommentReference">
    <w:name w:val="Comment Reference"/>
    <w:basedOn w:val="DefaultParagraphFont"/>
    <w:uiPriority w:val="99"/>
    <w:semiHidden/>
    <w:unhideWhenUsed/>
    <w:rsid w:val="0065450A"/>
    <w:rPr>
      <w:sz w:val="16"/>
      <w:szCs w:val="16"/>
    </w:rPr>
  </w:style>
  <w:style w:type="paragraph" w:styleId="CommentText">
    <w:name w:val="Comment Text"/>
    <w:basedOn w:val="Normal"/>
    <w:link w:val="CommentTextChar"/>
    <w:uiPriority w:val="99"/>
    <w:unhideWhenUsed/>
    <w:rsid w:val="0065450A"/>
    <w:pPr>
      <w:spacing w:line="240" w:lineRule="auto"/>
    </w:pPr>
    <w:rPr>
      <w:sz w:val="20"/>
      <w:szCs w:val="20"/>
    </w:rPr>
  </w:style>
  <w:style w:type="character" w:styleId="CommentTextChar" w:customStyle="1">
    <w:name w:val="Comment Text Char"/>
    <w:basedOn w:val="DefaultParagraphFont"/>
    <w:link w:val="CommentText"/>
    <w:uiPriority w:val="99"/>
    <w:rsid w:val="0065450A"/>
    <w:rPr>
      <w:sz w:val="20"/>
      <w:szCs w:val="20"/>
    </w:rPr>
  </w:style>
  <w:style w:type="paragraph" w:styleId="CommentSubject">
    <w:name w:val="Comment Subject"/>
    <w:basedOn w:val="CommentText"/>
    <w:next w:val="CommentText"/>
    <w:link w:val="CommentSubjectChar"/>
    <w:uiPriority w:val="99"/>
    <w:semiHidden/>
    <w:unhideWhenUsed/>
    <w:rsid w:val="0065450A"/>
    <w:rPr>
      <w:b/>
      <w:bCs/>
    </w:rPr>
  </w:style>
  <w:style w:type="character" w:styleId="CommentSubjectChar" w:customStyle="1">
    <w:name w:val="Comment Subject Char"/>
    <w:basedOn w:val="CommentTextChar"/>
    <w:link w:val="CommentSubject"/>
    <w:uiPriority w:val="99"/>
    <w:semiHidden/>
    <w:rsid w:val="0065450A"/>
    <w:rPr>
      <w:b/>
      <w:bCs/>
      <w:sz w:val="20"/>
      <w:szCs w:val="20"/>
    </w:rPr>
  </w:style>
  <w:style w:type="character" w:styleId="Hyperlink">
    <w:name w:val="Hyperlink"/>
    <w:basedOn w:val="DefaultParagraphFont"/>
    <w:uiPriority w:val="99"/>
    <w:unhideWhenUsed/>
    <w:rsid w:val="00830790"/>
    <w:rPr>
      <w:color w:val="467886" w:themeColor="hyperlink"/>
      <w:u w:val="single"/>
    </w:rPr>
  </w:style>
  <w:style w:type="character" w:styleId="UnresolvedMention">
    <w:name w:val="Unresolved Mention"/>
    <w:basedOn w:val="DefaultParagraphFont"/>
    <w:uiPriority w:val="99"/>
    <w:semiHidden/>
    <w:unhideWhenUsed/>
    <w:rsid w:val="00830790"/>
    <w:rPr>
      <w:color w:val="605E5C"/>
      <w:shd w:val="clear" w:color="auto" w:fill="E1DFDD"/>
    </w:rPr>
  </w:style>
  <w:style w:type="paragraph" w:styleId="Revision">
    <w:name w:val="Revision"/>
    <w:hidden/>
    <w:uiPriority w:val="99"/>
    <w:semiHidden/>
    <w:rsid w:val="00830790"/>
    <w:pPr>
      <w:spacing w:after="0" w:line="240" w:lineRule="auto"/>
    </w:pPr>
  </w:style>
  <w:style w:type="paragraph" w:styleId="FootnoteText">
    <w:name w:val="footnote text"/>
    <w:basedOn w:val="Normal"/>
    <w:link w:val="FootnoteTextChar"/>
    <w:uiPriority w:val="99"/>
    <w:semiHidden/>
    <w:unhideWhenUsed/>
    <w:rsid w:val="00B03C5D"/>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B03C5D"/>
    <w:rPr>
      <w:sz w:val="20"/>
      <w:szCs w:val="20"/>
    </w:rPr>
  </w:style>
  <w:style w:type="character" w:styleId="FootnoteReference">
    <w:name w:val="footnote reference"/>
    <w:basedOn w:val="DefaultParagraphFont"/>
    <w:uiPriority w:val="99"/>
    <w:semiHidden/>
    <w:unhideWhenUsed/>
    <w:rsid w:val="00B03C5D"/>
    <w:rPr>
      <w:vertAlign w:val="superscript"/>
    </w:rPr>
  </w:style>
  <w:style w:type="paragraph" w:styleId="Default" w:customStyle="1">
    <w:name w:val="Default"/>
    <w:rsid w:val="009C4C13"/>
    <w:pPr>
      <w:autoSpaceDE w:val="0"/>
      <w:autoSpaceDN w:val="0"/>
      <w:adjustRightInd w:val="0"/>
      <w:spacing w:after="0" w:line="240" w:lineRule="auto"/>
    </w:pPr>
    <w:rPr>
      <w:rFonts w:ascii="Garamond" w:hAnsi="Garamond" w:cs="Garamond"/>
      <w:color w:val="000000"/>
      <w:spacing w:val="-1"/>
      <w:kern w:val="0"/>
      <w14:ligatures w14:val="non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hrw.org/report/2009/12/02/locked-far-away/transfer-immigrants-remote-detention-centers-united-states" TargetMode="External"/><Relationship Id="rId2" Type="http://schemas.openxmlformats.org/officeDocument/2006/relationships/hyperlink" Target="https://www.uscis.gov/g-28" TargetMode="External"/><Relationship Id="rId1" Type="http://schemas.openxmlformats.org/officeDocument/2006/relationships/hyperlink" Target="https://www.ice.gov/node/65009"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5028CD59058BA408A36DE2E93D19156" ma:contentTypeVersion="13" ma:contentTypeDescription="Create a new document." ma:contentTypeScope="" ma:versionID="b9e224135f4fd26d398cb45017ea6cbf">
  <xsd:schema xmlns:xsd="http://www.w3.org/2001/XMLSchema" xmlns:xs="http://www.w3.org/2001/XMLSchema" xmlns:p="http://schemas.microsoft.com/office/2006/metadata/properties" xmlns:ns2="f8bab0e9-223f-4a2d-af2f-f0223e8d97cc" xmlns:ns3="726211dc-93ce-404c-9b54-9fc79805c1f5" targetNamespace="http://schemas.microsoft.com/office/2006/metadata/properties" ma:root="true" ma:fieldsID="dd8bba051782f1a2986d71dd8b32f415" ns2:_="" ns3:_="">
    <xsd:import namespace="f8bab0e9-223f-4a2d-af2f-f0223e8d97cc"/>
    <xsd:import namespace="726211dc-93ce-404c-9b54-9fc79805c1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ab0e9-223f-4a2d-af2f-f0223e8d9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4954303-deb8-4099-9b28-ece04648dd8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6211dc-93ce-404c-9b54-9fc79805c1f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4e597b6-a64c-4439-80cf-73d0674b8a51}" ma:internalName="TaxCatchAll" ma:showField="CatchAllData" ma:web="726211dc-93ce-404c-9b54-9fc79805c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26211dc-93ce-404c-9b54-9fc79805c1f5" xsi:nil="true"/>
    <lcf76f155ced4ddcb4097134ff3c332f xmlns="f8bab0e9-223f-4a2d-af2f-f0223e8d97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08E5E5-D627-478A-81EB-FF5DF15EBE8A}">
  <ds:schemaRefs>
    <ds:schemaRef ds:uri="http://schemas.openxmlformats.org/officeDocument/2006/bibliography"/>
  </ds:schemaRefs>
</ds:datastoreItem>
</file>

<file path=customXml/itemProps2.xml><?xml version="1.0" encoding="utf-8"?>
<ds:datastoreItem xmlns:ds="http://schemas.openxmlformats.org/officeDocument/2006/customXml" ds:itemID="{D3A90B8C-BB45-42D9-92E7-BFCAE73448AB}"/>
</file>

<file path=customXml/itemProps3.xml><?xml version="1.0" encoding="utf-8"?>
<ds:datastoreItem xmlns:ds="http://schemas.openxmlformats.org/officeDocument/2006/customXml" ds:itemID="{D4AE5A04-A03B-4DCD-AED0-BCB9F8CA5337}"/>
</file>

<file path=customXml/itemProps4.xml><?xml version="1.0" encoding="utf-8"?>
<ds:datastoreItem xmlns:ds="http://schemas.openxmlformats.org/officeDocument/2006/customXml" ds:itemID="{55FBB8EC-CA2F-48CB-B75A-83A0A162FFC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Travis Handler</lastModifiedBy>
  <revision>3</revision>
  <dcterms:created xsi:type="dcterms:W3CDTF">2026-04-20T13:22:00.0000000Z</dcterms:created>
  <dcterms:modified xsi:type="dcterms:W3CDTF">2026-06-02T20:21:37.3136808Z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0x010100A5028CD59058BA408A36DE2E93D19156</vt:lpwstr>
  </property>
  <property fmtid="{D5CDD505-2E9C-101B-9397-08002B2CF9AE}" pid="3" name="MediaServiceImageTags">
    <vt:lpwstr/>
  </property>
</Properties>
</file>